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5265"/>
        <w:gridCol w:w="2706"/>
      </w:tblGrid>
      <w:tr w:rsidR="003D7B77" w:rsidRPr="00A17A6E" w:rsidTr="0036289C">
        <w:trPr>
          <w:trHeight w:val="1843"/>
        </w:trPr>
        <w:tc>
          <w:tcPr>
            <w:tcW w:w="2408" w:type="dxa"/>
          </w:tcPr>
          <w:p w:rsidR="00C30375" w:rsidRPr="00A17A6E" w:rsidRDefault="00C30375" w:rsidP="00C30375">
            <w:bookmarkStart w:id="0" w:name="_GoBack"/>
            <w:bookmarkEnd w:id="0"/>
            <w:r w:rsidRPr="00A17A6E">
              <w:rPr>
                <w:bCs/>
                <w:noProof/>
                <w:color w:val="000000"/>
                <w:lang w:eastAsia="en-AU"/>
              </w:rPr>
              <w:drawing>
                <wp:inline distT="0" distB="0" distL="0" distR="0" wp14:anchorId="550AE47A" wp14:editId="1DEBFC4E">
                  <wp:extent cx="1066800"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468" cy="1066468"/>
                          </a:xfrm>
                          <a:prstGeom prst="rect">
                            <a:avLst/>
                          </a:prstGeom>
                          <a:noFill/>
                          <a:ln>
                            <a:noFill/>
                          </a:ln>
                        </pic:spPr>
                      </pic:pic>
                    </a:graphicData>
                  </a:graphic>
                </wp:inline>
              </w:drawing>
            </w:r>
            <w:r w:rsidRPr="00A17A6E">
              <w:t xml:space="preserve"> </w:t>
            </w:r>
          </w:p>
        </w:tc>
        <w:tc>
          <w:tcPr>
            <w:tcW w:w="5672" w:type="dxa"/>
          </w:tcPr>
          <w:p w:rsidR="00C30375" w:rsidRPr="00A17A6E" w:rsidRDefault="00C30375" w:rsidP="00F8021E">
            <w:pPr>
              <w:pStyle w:val="Title"/>
              <w:spacing w:before="600"/>
              <w:ind w:left="318"/>
              <w:rPr>
                <w:rFonts w:asciiTheme="minorHAnsi" w:hAnsiTheme="minorHAnsi"/>
              </w:rPr>
            </w:pPr>
            <w:r w:rsidRPr="00A17A6E">
              <w:rPr>
                <w:rFonts w:asciiTheme="minorHAnsi" w:hAnsiTheme="minorHAnsi"/>
              </w:rPr>
              <w:t>Governance e</w:t>
            </w:r>
            <w:r w:rsidR="00237070">
              <w:rPr>
                <w:rFonts w:asciiTheme="minorHAnsi" w:hAnsiTheme="minorHAnsi"/>
              </w:rPr>
              <w:t>-</w:t>
            </w:r>
            <w:r w:rsidRPr="00A17A6E">
              <w:rPr>
                <w:rFonts w:asciiTheme="minorHAnsi" w:hAnsiTheme="minorHAnsi"/>
              </w:rPr>
              <w:t>alert</w:t>
            </w:r>
          </w:p>
          <w:p w:rsidR="00C30375" w:rsidRPr="00A17A6E" w:rsidRDefault="00C30375" w:rsidP="00A470DE">
            <w:pPr>
              <w:spacing w:before="160"/>
              <w:ind w:left="318"/>
            </w:pPr>
            <w:r>
              <w:rPr>
                <w:color w:val="646464"/>
              </w:rPr>
              <w:t>No. 2</w:t>
            </w:r>
            <w:r w:rsidRPr="00A17A6E">
              <w:rPr>
                <w:color w:val="646464"/>
              </w:rPr>
              <w:t xml:space="preserve"> </w:t>
            </w:r>
            <w:r w:rsidR="00237070">
              <w:rPr>
                <w:color w:val="646464"/>
              </w:rPr>
              <w:t>-</w:t>
            </w:r>
            <w:r w:rsidRPr="00A17A6E">
              <w:rPr>
                <w:color w:val="646464"/>
              </w:rPr>
              <w:t xml:space="preserve"> </w:t>
            </w:r>
            <w:r w:rsidR="00A470DE">
              <w:rPr>
                <w:color w:val="646464"/>
              </w:rPr>
              <w:t>Octo</w:t>
            </w:r>
            <w:r>
              <w:rPr>
                <w:color w:val="646464"/>
              </w:rPr>
              <w:t>ber</w:t>
            </w:r>
            <w:r w:rsidRPr="00A17A6E">
              <w:rPr>
                <w:color w:val="646464"/>
              </w:rPr>
              <w:t xml:space="preserve"> 2015</w:t>
            </w:r>
          </w:p>
        </w:tc>
        <w:tc>
          <w:tcPr>
            <w:tcW w:w="2795" w:type="dxa"/>
          </w:tcPr>
          <w:p w:rsidR="00C30375" w:rsidRPr="00A17A6E" w:rsidRDefault="00F8021E" w:rsidP="00E41000">
            <w:pPr>
              <w:ind w:left="289"/>
            </w:pPr>
            <w:r w:rsidRPr="00A17A6E">
              <w:rPr>
                <w:noProof/>
                <w:lang w:eastAsia="en-AU"/>
              </w:rPr>
              <w:drawing>
                <wp:inline distT="0" distB="0" distL="0" distR="0" wp14:anchorId="013B09F7" wp14:editId="50FA0319">
                  <wp:extent cx="1042416" cy="104241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Fennessy (from Suzanne O) - Copy.jpg"/>
                          <pic:cNvPicPr/>
                        </pic:nvPicPr>
                        <pic:blipFill>
                          <a:blip r:embed="rId10">
                            <a:extLst>
                              <a:ext uri="{28A0092B-C50C-407E-A947-70E740481C1C}">
                                <a14:useLocalDpi xmlns:a14="http://schemas.microsoft.com/office/drawing/2010/main" val="0"/>
                              </a:ext>
                            </a:extLst>
                          </a:blip>
                          <a:stretch>
                            <a:fillRect/>
                          </a:stretch>
                        </pic:blipFill>
                        <pic:spPr>
                          <a:xfrm>
                            <a:off x="0" y="0"/>
                            <a:ext cx="1040981" cy="1040981"/>
                          </a:xfrm>
                          <a:prstGeom prst="rect">
                            <a:avLst/>
                          </a:prstGeom>
                        </pic:spPr>
                      </pic:pic>
                    </a:graphicData>
                  </a:graphic>
                </wp:inline>
              </w:drawing>
            </w:r>
          </w:p>
        </w:tc>
      </w:tr>
    </w:tbl>
    <w:p w:rsidR="00702FCD" w:rsidRPr="00A17A6E" w:rsidRDefault="00702FCD" w:rsidP="00D765C1">
      <w:pPr>
        <w:pStyle w:val="Heading1"/>
        <w:spacing w:before="600"/>
      </w:pPr>
      <w:r w:rsidRPr="00A17A6E">
        <w:rPr>
          <w:noProof/>
          <w:lang w:eastAsia="en-AU"/>
        </w:rPr>
        <w:drawing>
          <wp:inline distT="0" distB="0" distL="0" distR="0" wp14:anchorId="2255C308" wp14:editId="4F27CCE4">
            <wp:extent cx="384048" cy="3840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_2_0B015B780B01590C001123AECA257D0A"/>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82806" cy="382806"/>
                    </a:xfrm>
                    <a:prstGeom prst="rect">
                      <a:avLst/>
                    </a:prstGeom>
                    <a:noFill/>
                    <a:ln>
                      <a:noFill/>
                    </a:ln>
                  </pic:spPr>
                </pic:pic>
              </a:graphicData>
            </a:graphic>
          </wp:inline>
        </w:drawing>
      </w:r>
      <w:r>
        <w:tab/>
      </w:r>
      <w:r w:rsidRPr="00A17A6E">
        <w:t>Welcome</w:t>
      </w:r>
    </w:p>
    <w:p w:rsidR="002658E6" w:rsidRDefault="00702FCD" w:rsidP="00FD3285">
      <w:r w:rsidRPr="00A17A6E">
        <w:t xml:space="preserve">Welcome to the </w:t>
      </w:r>
      <w:r>
        <w:t>2nd</w:t>
      </w:r>
      <w:r w:rsidRPr="00A17A6E">
        <w:t xml:space="preserve"> edition of the Department of Environment, Land, Water and Planning's </w:t>
      </w:r>
      <w:r w:rsidRPr="00E9007E">
        <w:t>(DELWP's)</w:t>
      </w:r>
      <w:r w:rsidRPr="00A17A6E">
        <w:t xml:space="preserve"> governance e</w:t>
      </w:r>
      <w:r w:rsidR="00237070">
        <w:t>-</w:t>
      </w:r>
      <w:r w:rsidRPr="00A17A6E">
        <w:t xml:space="preserve">alerts.  </w:t>
      </w:r>
      <w:r w:rsidR="009B5576">
        <w:t xml:space="preserve">As part of my responsibility to support and oversee </w:t>
      </w:r>
      <w:r w:rsidR="00C600A2">
        <w:t>DELWP</w:t>
      </w:r>
      <w:r w:rsidR="009B5576">
        <w:t xml:space="preserve"> agencies on behalf of our minister</w:t>
      </w:r>
      <w:r w:rsidR="00681FAB">
        <w:t xml:space="preserve">s, l have decided to focus this </w:t>
      </w:r>
      <w:r w:rsidR="009B5576">
        <w:t>e</w:t>
      </w:r>
      <w:r w:rsidR="00237070">
        <w:t>-</w:t>
      </w:r>
      <w:r w:rsidR="009B5576">
        <w:t>alert on integrity</w:t>
      </w:r>
      <w:r w:rsidR="00237070">
        <w:t>-</w:t>
      </w:r>
      <w:r w:rsidR="009B5576">
        <w:t xml:space="preserve">related topics.  </w:t>
      </w:r>
    </w:p>
    <w:p w:rsidR="00035870" w:rsidRDefault="003F5F50" w:rsidP="00FD3285">
      <w:r>
        <w:t xml:space="preserve">As </w:t>
      </w:r>
      <w:r w:rsidR="0091420D">
        <w:t>Secretary of DELWP</w:t>
      </w:r>
      <w:r>
        <w:t xml:space="preserve">, </w:t>
      </w:r>
      <w:r w:rsidR="007672FE">
        <w:t xml:space="preserve">l have a </w:t>
      </w:r>
      <w:r>
        <w:t xml:space="preserve">duty to </w:t>
      </w:r>
      <w:r w:rsidR="00A727F0">
        <w:t>have</w:t>
      </w:r>
      <w:r w:rsidR="00482B5E">
        <w:t xml:space="preserve"> </w:t>
      </w:r>
      <w:r w:rsidR="006F1785">
        <w:t xml:space="preserve">policies and </w:t>
      </w:r>
      <w:r w:rsidR="009F2CF2">
        <w:t>processes</w:t>
      </w:r>
      <w:r w:rsidR="00A727F0">
        <w:t xml:space="preserve"> in place</w:t>
      </w:r>
      <w:r w:rsidR="009F2CF2">
        <w:t xml:space="preserve"> </w:t>
      </w:r>
      <w:r w:rsidR="000957DA">
        <w:t>that</w:t>
      </w:r>
      <w:r w:rsidR="00A727F0">
        <w:t xml:space="preserve"> will best </w:t>
      </w:r>
      <w:r w:rsidR="003B1DEC">
        <w:t xml:space="preserve">ensure </w:t>
      </w:r>
      <w:r>
        <w:t xml:space="preserve">all </w:t>
      </w:r>
      <w:r w:rsidR="00A727F0">
        <w:t xml:space="preserve">those </w:t>
      </w:r>
      <w:r>
        <w:t xml:space="preserve">who work in </w:t>
      </w:r>
      <w:r w:rsidR="009F2CF2">
        <w:t xml:space="preserve">my </w:t>
      </w:r>
      <w:r>
        <w:t xml:space="preserve">department act </w:t>
      </w:r>
      <w:r w:rsidR="003B1DEC">
        <w:t xml:space="preserve">and make decisions </w:t>
      </w:r>
      <w:r>
        <w:t>with integrity</w:t>
      </w:r>
      <w:r w:rsidR="009F2CF2">
        <w:t xml:space="preserve">, in accordance with the public sector values.  </w:t>
      </w:r>
      <w:r w:rsidR="009B5576">
        <w:t xml:space="preserve">This is a duty which </w:t>
      </w:r>
      <w:r w:rsidR="00A727F0">
        <w:t>the</w:t>
      </w:r>
      <w:r w:rsidR="009B5576">
        <w:t xml:space="preserve"> board</w:t>
      </w:r>
      <w:r w:rsidR="00A727F0">
        <w:t>s</w:t>
      </w:r>
      <w:r w:rsidR="009B5576">
        <w:t xml:space="preserve"> of </w:t>
      </w:r>
      <w:r w:rsidR="003B1DEC">
        <w:t>a</w:t>
      </w:r>
      <w:r w:rsidR="00A727F0">
        <w:t>ll</w:t>
      </w:r>
      <w:r w:rsidR="003B1DEC">
        <w:t xml:space="preserve"> </w:t>
      </w:r>
      <w:r w:rsidR="00896A88">
        <w:t>DELW</w:t>
      </w:r>
      <w:r w:rsidR="003B1DEC">
        <w:t xml:space="preserve">P </w:t>
      </w:r>
      <w:r w:rsidR="00A727F0">
        <w:t>agencies</w:t>
      </w:r>
      <w:r w:rsidR="00896A88">
        <w:t xml:space="preserve"> </w:t>
      </w:r>
      <w:r w:rsidR="00A727F0">
        <w:t>share</w:t>
      </w:r>
      <w:r w:rsidR="00896A88">
        <w:t xml:space="preserve"> in </w:t>
      </w:r>
      <w:r w:rsidR="00A727F0">
        <w:t>relation</w:t>
      </w:r>
      <w:r w:rsidR="003B1DEC">
        <w:t xml:space="preserve"> to their own organisation</w:t>
      </w:r>
      <w:r w:rsidR="00A727F0">
        <w:t>s</w:t>
      </w:r>
      <w:r w:rsidR="00896A88">
        <w:t xml:space="preserve">.  </w:t>
      </w:r>
    </w:p>
    <w:p w:rsidR="00875555" w:rsidRDefault="00486C6E" w:rsidP="00FD3285">
      <w:r>
        <w:t>B</w:t>
      </w:r>
      <w:r w:rsidR="00761AB0">
        <w:t xml:space="preserve">oard members and staff of </w:t>
      </w:r>
      <w:r w:rsidR="002658E6">
        <w:t>DELWP agencies</w:t>
      </w:r>
      <w:r w:rsidR="00035870">
        <w:t xml:space="preserve"> are entrusted by the </w:t>
      </w:r>
      <w:r w:rsidR="00561658">
        <w:t xml:space="preserve">Victorian </w:t>
      </w:r>
      <w:r w:rsidR="00035870">
        <w:t xml:space="preserve">community to </w:t>
      </w:r>
      <w:r w:rsidR="00761AB0">
        <w:t xml:space="preserve">act </w:t>
      </w:r>
      <w:r w:rsidR="00035870">
        <w:t>with integrity, impartiality and accountability.</w:t>
      </w:r>
      <w:r w:rsidR="00FD3285">
        <w:t xml:space="preserve"> </w:t>
      </w:r>
      <w:r w:rsidR="00761AB0">
        <w:t>The right culture</w:t>
      </w:r>
      <w:r w:rsidR="002658E6">
        <w:t xml:space="preserve"> </w:t>
      </w:r>
      <w:r w:rsidR="00761AB0">
        <w:t xml:space="preserve">is lead </w:t>
      </w:r>
      <w:r w:rsidR="001135DD">
        <w:t>from the top</w:t>
      </w:r>
      <w:r w:rsidR="00CB14C1">
        <w:t>,</w:t>
      </w:r>
      <w:r w:rsidR="002658E6">
        <w:t xml:space="preserve"> assisted by ensuring </w:t>
      </w:r>
      <w:r w:rsidR="00296A1A">
        <w:t xml:space="preserve">that </w:t>
      </w:r>
      <w:r w:rsidR="002658E6">
        <w:t xml:space="preserve">all </w:t>
      </w:r>
      <w:r w:rsidR="00A41703">
        <w:t xml:space="preserve">those </w:t>
      </w:r>
      <w:r w:rsidR="002658E6">
        <w:t xml:space="preserve">involved </w:t>
      </w:r>
      <w:r w:rsidR="00FE17C7">
        <w:t>understand</w:t>
      </w:r>
      <w:r w:rsidR="002658E6">
        <w:t xml:space="preserve"> the </w:t>
      </w:r>
      <w:r w:rsidR="00FE17C7">
        <w:t xml:space="preserve">processes and </w:t>
      </w:r>
      <w:r w:rsidR="002658E6">
        <w:t>standards of conduct</w:t>
      </w:r>
      <w:r w:rsidR="00FE17C7">
        <w:t xml:space="preserve"> required</w:t>
      </w:r>
      <w:r w:rsidR="002658E6">
        <w:t>.</w:t>
      </w:r>
    </w:p>
    <w:p w:rsidR="00035870" w:rsidRDefault="00035870" w:rsidP="00FD3285">
      <w:r>
        <w:t xml:space="preserve">I </w:t>
      </w:r>
      <w:r w:rsidR="00FD3285">
        <w:t xml:space="preserve">am committed to </w:t>
      </w:r>
      <w:r w:rsidR="00B856D3">
        <w:t>assisting</w:t>
      </w:r>
      <w:r w:rsidR="00FD3285">
        <w:t xml:space="preserve"> </w:t>
      </w:r>
      <w:r w:rsidR="0078006C">
        <w:t xml:space="preserve">the boards of </w:t>
      </w:r>
      <w:r>
        <w:t>DELWP agencies</w:t>
      </w:r>
      <w:r w:rsidR="00FD3285">
        <w:t xml:space="preserve"> </w:t>
      </w:r>
      <w:r w:rsidR="00B856D3">
        <w:t xml:space="preserve">to have policies and guidance in place </w:t>
      </w:r>
      <w:r w:rsidR="008A5CF5">
        <w:t>that foster</w:t>
      </w:r>
      <w:r w:rsidR="00B856D3">
        <w:t xml:space="preserve"> </w:t>
      </w:r>
      <w:r w:rsidR="00875555">
        <w:t xml:space="preserve">a culture of integrity and help </w:t>
      </w:r>
      <w:r w:rsidR="00FE17C7">
        <w:t>the organisation</w:t>
      </w:r>
      <w:r w:rsidR="00875555">
        <w:t xml:space="preserve"> </w:t>
      </w:r>
      <w:r w:rsidR="0078006C">
        <w:t xml:space="preserve">to </w:t>
      </w:r>
      <w:r>
        <w:t xml:space="preserve">meet </w:t>
      </w:r>
      <w:r w:rsidR="00FE17C7">
        <w:t>its</w:t>
      </w:r>
      <w:r>
        <w:t xml:space="preserve"> governance obligations and good practice</w:t>
      </w:r>
      <w:r w:rsidR="00B856D3">
        <w:t>.</w:t>
      </w:r>
      <w:r w:rsidR="00165D92">
        <w:t xml:space="preserve">  DELWP</w:t>
      </w:r>
      <w:r w:rsidR="00097689" w:rsidRPr="00A17A6E">
        <w:t>'</w:t>
      </w:r>
      <w:r w:rsidR="00165D92">
        <w:t xml:space="preserve">s governance website, </w:t>
      </w:r>
      <w:r w:rsidR="00165D92" w:rsidRPr="009D49A4">
        <w:t>On Board</w:t>
      </w:r>
      <w:r w:rsidR="00FE17C7">
        <w:t>, provides a growing range of</w:t>
      </w:r>
      <w:r w:rsidR="005B7EAF">
        <w:t xml:space="preserve"> model polices, guidance notes and other</w:t>
      </w:r>
      <w:r w:rsidR="00FE17C7">
        <w:t xml:space="preserve"> </w:t>
      </w:r>
      <w:r w:rsidR="00FE17C7" w:rsidRPr="00706BB6">
        <w:t>governance resources</w:t>
      </w:r>
      <w:r w:rsidR="00FE17C7">
        <w:t xml:space="preserve"> to support you and your agency.</w:t>
      </w:r>
      <w:r w:rsidR="00165D92">
        <w:t xml:space="preserve"> </w:t>
      </w:r>
      <w:r w:rsidR="00664EE9">
        <w:t xml:space="preserve"> </w:t>
      </w:r>
      <w:r w:rsidR="00D456CC">
        <w:t xml:space="preserve">I hope </w:t>
      </w:r>
      <w:r w:rsidR="00A8287A">
        <w:t xml:space="preserve">that </w:t>
      </w:r>
      <w:r w:rsidR="00D456CC">
        <w:t xml:space="preserve">you will make visits </w:t>
      </w:r>
      <w:r w:rsidR="00C945E1">
        <w:t xml:space="preserve">to </w:t>
      </w:r>
      <w:hyperlink r:id="rId12" w:history="1">
        <w:r w:rsidR="00C945E1" w:rsidRPr="00C945E1">
          <w:rPr>
            <w:rStyle w:val="Hyperlink"/>
          </w:rPr>
          <w:t>On Board</w:t>
        </w:r>
      </w:hyperlink>
      <w:r w:rsidR="00C945E1">
        <w:t xml:space="preserve"> </w:t>
      </w:r>
      <w:r w:rsidR="00131B50">
        <w:t xml:space="preserve">an ongoing </w:t>
      </w:r>
      <w:r w:rsidR="00D456CC">
        <w:t>part of your commitment to excellence in your role.</w:t>
      </w:r>
      <w:r w:rsidR="00C945E1">
        <w:t xml:space="preserve"> </w:t>
      </w:r>
    </w:p>
    <w:p w:rsidR="00FB10A9" w:rsidRPr="00A17A6E" w:rsidRDefault="00FB10A9" w:rsidP="00FB10A9">
      <w:pPr>
        <w:pStyle w:val="Heading1"/>
      </w:pPr>
      <w:r w:rsidRPr="00A17A6E">
        <w:rPr>
          <w:noProof/>
          <w:lang w:eastAsia="en-AU"/>
        </w:rPr>
        <w:drawing>
          <wp:inline distT="0" distB="0" distL="0" distR="0" wp14:anchorId="44EC2F81" wp14:editId="33E73830">
            <wp:extent cx="371856" cy="371856"/>
            <wp:effectExtent l="0" t="0" r="9525" b="9525"/>
            <wp:docPr id="32" name="Picture 32"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797" cy="371797"/>
                    </a:xfrm>
                    <a:prstGeom prst="rect">
                      <a:avLst/>
                    </a:prstGeom>
                    <a:noFill/>
                    <a:ln>
                      <a:noFill/>
                    </a:ln>
                  </pic:spPr>
                </pic:pic>
              </a:graphicData>
            </a:graphic>
          </wp:inline>
        </w:drawing>
      </w:r>
      <w:r>
        <w:tab/>
      </w:r>
      <w:r w:rsidR="00A77A62">
        <w:t>Director</w:t>
      </w:r>
      <w:r w:rsidR="00D45CC0" w:rsidRPr="00A17A6E">
        <w:t>'</w:t>
      </w:r>
      <w:r w:rsidR="00A77A62">
        <w:t>s Code of Conduct</w:t>
      </w:r>
      <w:r w:rsidR="00681FAB">
        <w:t xml:space="preserve"> </w:t>
      </w:r>
      <w:r w:rsidR="005738AF">
        <w:t>-</w:t>
      </w:r>
      <w:r>
        <w:t xml:space="preserve"> updated</w:t>
      </w:r>
      <w:r w:rsidR="00A77A62">
        <w:t xml:space="preserve"> </w:t>
      </w:r>
    </w:p>
    <w:p w:rsidR="00F41A6A" w:rsidRDefault="00FB10A9" w:rsidP="00FB10A9">
      <w:r>
        <w:t xml:space="preserve">The Victorian </w:t>
      </w:r>
      <w:r w:rsidR="0025006C">
        <w:t xml:space="preserve">Public Sector Commission </w:t>
      </w:r>
      <w:r w:rsidR="009F1002">
        <w:t xml:space="preserve">is </w:t>
      </w:r>
      <w:r w:rsidR="00545C79">
        <w:t>set to release a major</w:t>
      </w:r>
      <w:r w:rsidR="009F1002">
        <w:t xml:space="preserve"> update to</w:t>
      </w:r>
      <w:r>
        <w:t xml:space="preserve"> the </w:t>
      </w:r>
      <w:r w:rsidR="002B1D09" w:rsidRPr="002B1D09">
        <w:rPr>
          <w:i/>
        </w:rPr>
        <w:t>Code of Conduct for Directors of Victorian Public Entitie</w:t>
      </w:r>
      <w:r w:rsidR="002B1D09">
        <w:t>s</w:t>
      </w:r>
      <w:r w:rsidR="00545C79">
        <w:t>.</w:t>
      </w:r>
      <w:r w:rsidR="00A77A62">
        <w:t xml:space="preserve"> </w:t>
      </w:r>
      <w:r w:rsidR="006734DC">
        <w:t xml:space="preserve">The code </w:t>
      </w:r>
      <w:r w:rsidR="00C4188D">
        <w:t>is</w:t>
      </w:r>
      <w:r w:rsidR="006734DC">
        <w:t xml:space="preserve"> </w:t>
      </w:r>
      <w:r w:rsidR="00545C79">
        <w:t>binding</w:t>
      </w:r>
      <w:r w:rsidR="009F1002">
        <w:t xml:space="preserve"> </w:t>
      </w:r>
      <w:r w:rsidR="006734DC">
        <w:t xml:space="preserve">on </w:t>
      </w:r>
      <w:r w:rsidR="009F1002">
        <w:t>board member</w:t>
      </w:r>
      <w:r w:rsidR="00496B61">
        <w:t>s</w:t>
      </w:r>
      <w:r w:rsidR="009F1002">
        <w:t xml:space="preserve"> of public entitie</w:t>
      </w:r>
      <w:r w:rsidR="006734DC">
        <w:t>s and</w:t>
      </w:r>
      <w:r w:rsidR="00545C79">
        <w:t xml:space="preserve"> is expected </w:t>
      </w:r>
      <w:r w:rsidR="006734DC">
        <w:t>to also be</w:t>
      </w:r>
      <w:r w:rsidR="00545C79">
        <w:t xml:space="preserve"> bind</w:t>
      </w:r>
      <w:r w:rsidR="006734DC">
        <w:t>ing on the</w:t>
      </w:r>
      <w:r w:rsidR="00AC3B12">
        <w:t xml:space="preserve"> </w:t>
      </w:r>
      <w:r w:rsidR="009F1002">
        <w:t xml:space="preserve">holders of statutory offices, </w:t>
      </w:r>
      <w:r w:rsidR="006734DC">
        <w:t>such as</w:t>
      </w:r>
      <w:r w:rsidR="009F1002">
        <w:t xml:space="preserve"> members of ministerial advisory committees appointed </w:t>
      </w:r>
      <w:r w:rsidR="000348BE">
        <w:t>under</w:t>
      </w:r>
      <w:r w:rsidR="009F1002">
        <w:t xml:space="preserve"> </w:t>
      </w:r>
      <w:r w:rsidR="00496B61">
        <w:t>statute</w:t>
      </w:r>
      <w:r w:rsidR="009F1002">
        <w:t>.</w:t>
      </w:r>
      <w:r w:rsidR="006734DC">
        <w:t xml:space="preserve">  </w:t>
      </w:r>
    </w:p>
    <w:p w:rsidR="00A77A62" w:rsidRDefault="00430FF0" w:rsidP="00FB10A9">
      <w:r>
        <w:t xml:space="preserve">New obligations </w:t>
      </w:r>
      <w:r w:rsidR="00A744EC">
        <w:t>are</w:t>
      </w:r>
      <w:r w:rsidR="00F9785E">
        <w:t xml:space="preserve"> included in the </w:t>
      </w:r>
      <w:r w:rsidR="00A744EC">
        <w:t xml:space="preserve">updated </w:t>
      </w:r>
      <w:r>
        <w:t xml:space="preserve">code, </w:t>
      </w:r>
      <w:r w:rsidR="0071549C">
        <w:t>most</w:t>
      </w:r>
      <w:r w:rsidR="00F9785E">
        <w:t xml:space="preserve"> of which are </w:t>
      </w:r>
      <w:r w:rsidR="0071549C">
        <w:t>based on</w:t>
      </w:r>
      <w:r w:rsidR="00F9785E">
        <w:t xml:space="preserve"> </w:t>
      </w:r>
      <w:r w:rsidR="00F667A9">
        <w:t>s</w:t>
      </w:r>
      <w:r w:rsidR="00F9785E">
        <w:t xml:space="preserve"> 79 to 85 of the </w:t>
      </w:r>
      <w:r w:rsidR="00F9785E" w:rsidRPr="00F9785E">
        <w:rPr>
          <w:i/>
        </w:rPr>
        <w:t>Public Administration Act</w:t>
      </w:r>
      <w:r w:rsidR="00F9785E">
        <w:rPr>
          <w:i/>
        </w:rPr>
        <w:t xml:space="preserve"> 2004</w:t>
      </w:r>
      <w:r w:rsidR="00A302E7">
        <w:t xml:space="preserve"> </w:t>
      </w:r>
      <w:r w:rsidR="0071549C">
        <w:t>- e.g.</w:t>
      </w:r>
      <w:r>
        <w:t xml:space="preserve"> the </w:t>
      </w:r>
      <w:r w:rsidR="007D051E">
        <w:t>requirement</w:t>
      </w:r>
      <w:r>
        <w:t xml:space="preserve"> for certain board policies</w:t>
      </w:r>
      <w:r w:rsidR="007D051E">
        <w:t xml:space="preserve"> to be in place</w:t>
      </w:r>
      <w:r>
        <w:t xml:space="preserve">; </w:t>
      </w:r>
      <w:r w:rsidR="007D051E">
        <w:t>the process</w:t>
      </w:r>
      <w:r>
        <w:t xml:space="preserve"> </w:t>
      </w:r>
      <w:r w:rsidR="00BB2E4F">
        <w:t>for managing</w:t>
      </w:r>
      <w:r>
        <w:t xml:space="preserve"> </w:t>
      </w:r>
      <w:r w:rsidR="007D051E">
        <w:t xml:space="preserve">material </w:t>
      </w:r>
      <w:r>
        <w:t>conflict</w:t>
      </w:r>
      <w:r w:rsidR="001B1A0F">
        <w:t>s</w:t>
      </w:r>
      <w:r>
        <w:t xml:space="preserve"> of interest</w:t>
      </w:r>
      <w:r w:rsidR="001B1A0F">
        <w:t>;</w:t>
      </w:r>
      <w:r>
        <w:t xml:space="preserve"> and </w:t>
      </w:r>
      <w:r w:rsidR="007D051E">
        <w:t>the need to</w:t>
      </w:r>
      <w:r w:rsidR="001B1A0F">
        <w:t xml:space="preserve"> </w:t>
      </w:r>
      <w:r w:rsidR="007D051E">
        <w:t>ensure</w:t>
      </w:r>
      <w:r w:rsidR="001B1A0F">
        <w:t xml:space="preserve"> that </w:t>
      </w:r>
      <w:r w:rsidR="004C12EF">
        <w:t xml:space="preserve">all </w:t>
      </w:r>
      <w:r w:rsidR="001B1A0F">
        <w:t>decisions are consistent with government strategy, as part of the board</w:t>
      </w:r>
      <w:r w:rsidR="00097689" w:rsidRPr="00A17A6E">
        <w:t>'</w:t>
      </w:r>
      <w:r w:rsidR="001B1A0F">
        <w:t>s accountability to the minister.</w:t>
      </w:r>
      <w:r>
        <w:t xml:space="preserve"> </w:t>
      </w:r>
      <w:r w:rsidR="0071549C">
        <w:t>DELWP</w:t>
      </w:r>
      <w:r w:rsidR="00097689" w:rsidRPr="00A17A6E">
        <w:t>'</w:t>
      </w:r>
      <w:r w:rsidR="005B7EAF">
        <w:t xml:space="preserve">s </w:t>
      </w:r>
      <w:hyperlink r:id="rId14" w:history="1">
        <w:r w:rsidR="0071549C" w:rsidRPr="00B65347">
          <w:rPr>
            <w:rStyle w:val="Hyperlink"/>
          </w:rPr>
          <w:t>model policies</w:t>
        </w:r>
      </w:hyperlink>
      <w:r w:rsidR="005B7EAF">
        <w:t xml:space="preserve"> can assist your board to ensure </w:t>
      </w:r>
      <w:r w:rsidR="00BB2E4F">
        <w:t xml:space="preserve">that </w:t>
      </w:r>
      <w:r w:rsidR="00A11B34">
        <w:t>it complies with th</w:t>
      </w:r>
      <w:r w:rsidR="005B7EAF">
        <w:t xml:space="preserve">e </w:t>
      </w:r>
      <w:r w:rsidR="00D8401D">
        <w:t xml:space="preserve">new </w:t>
      </w:r>
      <w:r w:rsidR="005B7EAF">
        <w:t>requirements.</w:t>
      </w:r>
    </w:p>
    <w:p w:rsidR="005A0E61" w:rsidRDefault="005A0E61" w:rsidP="005A0E61">
      <w:r w:rsidRPr="00CD63A5">
        <w:rPr>
          <w:b/>
          <w:color w:val="228591"/>
        </w:rPr>
        <w:t xml:space="preserve">Further information: </w:t>
      </w:r>
      <w:r>
        <w:t xml:space="preserve">the </w:t>
      </w:r>
      <w:hyperlink r:id="rId15" w:history="1">
        <w:r w:rsidRPr="00CC64E3">
          <w:rPr>
            <w:rStyle w:val="Hyperlink"/>
          </w:rPr>
          <w:t>updated code</w:t>
        </w:r>
      </w:hyperlink>
      <w:r>
        <w:t xml:space="preserve"> will be available from</w:t>
      </w:r>
      <w:r w:rsidR="00050B9A">
        <w:t xml:space="preserve"> the VPSC website</w:t>
      </w:r>
      <w:r>
        <w:t>.</w:t>
      </w:r>
    </w:p>
    <w:p w:rsidR="00764EB2" w:rsidRPr="00A17A6E" w:rsidRDefault="00764EB2" w:rsidP="00764EB2">
      <w:pPr>
        <w:pStyle w:val="Heading1"/>
      </w:pPr>
      <w:r w:rsidRPr="00A17A6E">
        <w:rPr>
          <w:noProof/>
          <w:lang w:eastAsia="en-AU"/>
        </w:rPr>
        <w:drawing>
          <wp:inline distT="0" distB="0" distL="0" distR="0" wp14:anchorId="4863587D" wp14:editId="26467F17">
            <wp:extent cx="371856" cy="371856"/>
            <wp:effectExtent l="0" t="0" r="9525" b="9525"/>
            <wp:docPr id="6" name="Picture 6"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797" cy="371797"/>
                    </a:xfrm>
                    <a:prstGeom prst="rect">
                      <a:avLst/>
                    </a:prstGeom>
                    <a:noFill/>
                    <a:ln>
                      <a:noFill/>
                    </a:ln>
                  </pic:spPr>
                </pic:pic>
              </a:graphicData>
            </a:graphic>
          </wp:inline>
        </w:drawing>
      </w:r>
      <w:r>
        <w:tab/>
        <w:t>Employee</w:t>
      </w:r>
      <w:r w:rsidR="00D45CC0" w:rsidRPr="00A17A6E">
        <w:t>'</w:t>
      </w:r>
      <w:r>
        <w:t>s Code of Conduct</w:t>
      </w:r>
      <w:r w:rsidR="005738AF">
        <w:t xml:space="preserve"> -</w:t>
      </w:r>
      <w:r>
        <w:t xml:space="preserve"> </w:t>
      </w:r>
      <w:r w:rsidR="00545C79">
        <w:t>updated</w:t>
      </w:r>
      <w:r>
        <w:t xml:space="preserve"> </w:t>
      </w:r>
    </w:p>
    <w:p w:rsidR="00545C79" w:rsidRDefault="0025006C" w:rsidP="00545C79">
      <w:r>
        <w:t xml:space="preserve">The Victorian Public Sector Commission </w:t>
      </w:r>
      <w:r w:rsidR="0026285D">
        <w:t xml:space="preserve">has </w:t>
      </w:r>
      <w:r>
        <w:t xml:space="preserve">also </w:t>
      </w:r>
      <w:r w:rsidR="00764EB2">
        <w:t xml:space="preserve">recently </w:t>
      </w:r>
      <w:r w:rsidR="00545C79">
        <w:t>updated</w:t>
      </w:r>
      <w:r w:rsidR="00764EB2">
        <w:t xml:space="preserve"> </w:t>
      </w:r>
      <w:r w:rsidR="00A77A62">
        <w:t>the</w:t>
      </w:r>
      <w:r w:rsidR="00FB10A9">
        <w:t xml:space="preserve"> </w:t>
      </w:r>
      <w:r w:rsidR="00FB10A9" w:rsidRPr="00D83647">
        <w:rPr>
          <w:i/>
        </w:rPr>
        <w:t>Code of Conduct for Victorian Public Sector Employees</w:t>
      </w:r>
      <w:r w:rsidR="00764EB2">
        <w:t>.</w:t>
      </w:r>
      <w:r w:rsidR="00A77A62">
        <w:t xml:space="preserve"> </w:t>
      </w:r>
      <w:r w:rsidR="003A0647">
        <w:t xml:space="preserve">The </w:t>
      </w:r>
      <w:r w:rsidR="00336477">
        <w:t>updated</w:t>
      </w:r>
      <w:r w:rsidR="003A0647">
        <w:t xml:space="preserve"> code</w:t>
      </w:r>
      <w:r w:rsidR="006D581B">
        <w:t xml:space="preserve"> </w:t>
      </w:r>
      <w:r w:rsidR="00545C79">
        <w:t xml:space="preserve">has only </w:t>
      </w:r>
      <w:r w:rsidR="00FB10A9">
        <w:t>minor change</w:t>
      </w:r>
      <w:r w:rsidR="00545C79">
        <w:t xml:space="preserve">s, the purpose of which is to </w:t>
      </w:r>
      <w:r w:rsidR="00097689" w:rsidRPr="00A17A6E">
        <w:t>'</w:t>
      </w:r>
      <w:r w:rsidR="00FB10A9" w:rsidRPr="00A23348">
        <w:t xml:space="preserve">clarify existing requirements, particularly in the key areas of conflicts of interest and gifts and benefits, rather </w:t>
      </w:r>
      <w:r w:rsidR="006D581B">
        <w:t>than introduce new obligations</w:t>
      </w:r>
      <w:r w:rsidR="00097689" w:rsidRPr="00A17A6E">
        <w:t>'</w:t>
      </w:r>
      <w:r w:rsidR="003A0647">
        <w:t xml:space="preserve">.  </w:t>
      </w:r>
      <w:r w:rsidR="00545C79">
        <w:t>Your agency can use th</w:t>
      </w:r>
      <w:r w:rsidR="007750BE">
        <w:t>e</w:t>
      </w:r>
      <w:r w:rsidR="00545C79">
        <w:t xml:space="preserve"> recent update as </w:t>
      </w:r>
      <w:r w:rsidR="00E67716">
        <w:t xml:space="preserve">an </w:t>
      </w:r>
      <w:r w:rsidR="00545C79">
        <w:t xml:space="preserve">opportunity to remind staff that they are bound by the code and </w:t>
      </w:r>
      <w:r w:rsidR="00336477">
        <w:t xml:space="preserve">to </w:t>
      </w:r>
      <w:r w:rsidR="00545C79">
        <w:t xml:space="preserve">ensure they have ready access to it, since a breach of the code may constitute misconduct.  </w:t>
      </w:r>
    </w:p>
    <w:p w:rsidR="00FB10A9" w:rsidRDefault="00FB10A9" w:rsidP="00FB10A9">
      <w:r w:rsidRPr="00CD63A5">
        <w:rPr>
          <w:b/>
          <w:color w:val="228591"/>
        </w:rPr>
        <w:t xml:space="preserve">Further information: </w:t>
      </w:r>
      <w:r>
        <w:t xml:space="preserve">the </w:t>
      </w:r>
      <w:hyperlink r:id="rId16" w:history="1">
        <w:r w:rsidR="005A0E61">
          <w:rPr>
            <w:rStyle w:val="Hyperlink"/>
          </w:rPr>
          <w:t>updated cod</w:t>
        </w:r>
        <w:r w:rsidR="005A0E61" w:rsidRPr="00173EC4">
          <w:rPr>
            <w:rStyle w:val="Hyperlink"/>
          </w:rPr>
          <w:t>e</w:t>
        </w:r>
      </w:hyperlink>
      <w:r w:rsidR="005A0E61">
        <w:t xml:space="preserve"> </w:t>
      </w:r>
      <w:r w:rsidR="00050B9A">
        <w:t>is</w:t>
      </w:r>
      <w:r>
        <w:t xml:space="preserve"> available from the</w:t>
      </w:r>
      <w:r w:rsidR="005A0E61">
        <w:t xml:space="preserve"> VPSC website</w:t>
      </w:r>
      <w:r>
        <w:t>.</w:t>
      </w:r>
    </w:p>
    <w:p w:rsidR="00702FCD" w:rsidRDefault="00702FCD" w:rsidP="00702FCD">
      <w:pPr>
        <w:pStyle w:val="Heading1"/>
      </w:pPr>
      <w:bookmarkStart w:id="1" w:name="_Conflict_of_interest_2"/>
      <w:bookmarkEnd w:id="1"/>
      <w:r w:rsidRPr="00A17A6E">
        <w:rPr>
          <w:noProof/>
          <w:lang w:eastAsia="en-AU"/>
        </w:rPr>
        <w:lastRenderedPageBreak/>
        <w:drawing>
          <wp:inline distT="0" distB="0" distL="0" distR="0" wp14:anchorId="79865A5C" wp14:editId="324586CA">
            <wp:extent cx="371856" cy="371856"/>
            <wp:effectExtent l="0" t="0" r="9525" b="9525"/>
            <wp:docPr id="24" name="Picture 24"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797" cy="371797"/>
                    </a:xfrm>
                    <a:prstGeom prst="rect">
                      <a:avLst/>
                    </a:prstGeom>
                    <a:noFill/>
                    <a:ln>
                      <a:noFill/>
                    </a:ln>
                  </pic:spPr>
                </pic:pic>
              </a:graphicData>
            </a:graphic>
          </wp:inline>
        </w:drawing>
      </w:r>
      <w:r>
        <w:tab/>
        <w:t xml:space="preserve">Conflict of interest </w:t>
      </w:r>
      <w:r w:rsidR="00694EDF">
        <w:t>-</w:t>
      </w:r>
      <w:r>
        <w:t xml:space="preserve"> DELWP model policy adopted </w:t>
      </w:r>
      <w:r w:rsidR="000B592B">
        <w:t>for</w:t>
      </w:r>
      <w:r>
        <w:t xml:space="preserve"> Victorian public sector</w:t>
      </w:r>
    </w:p>
    <w:p w:rsidR="00702FCD" w:rsidRDefault="00702FCD" w:rsidP="00702FCD">
      <w:r>
        <w:t>I</w:t>
      </w:r>
      <w:r w:rsidR="00BD6D1B" w:rsidRPr="00A17A6E">
        <w:t>'</w:t>
      </w:r>
      <w:r w:rsidRPr="00EE5174">
        <w:t xml:space="preserve">m pleased to </w:t>
      </w:r>
      <w:r>
        <w:t>tell you</w:t>
      </w:r>
      <w:r w:rsidRPr="00EE5174">
        <w:t xml:space="preserve"> that DELWP</w:t>
      </w:r>
      <w:r w:rsidR="00BD6D1B" w:rsidRPr="00A17A6E">
        <w:t>'</w:t>
      </w:r>
      <w:r w:rsidRPr="00EE5174">
        <w:t xml:space="preserve">s recently updated model policy on </w:t>
      </w:r>
      <w:hyperlink r:id="rId17" w:history="1">
        <w:r w:rsidRPr="00EE5174">
          <w:rPr>
            <w:rStyle w:val="Hyperlink"/>
          </w:rPr>
          <w:t>Conflict of Interest</w:t>
        </w:r>
      </w:hyperlink>
      <w:r w:rsidRPr="00EE5174">
        <w:t xml:space="preserve"> has been </w:t>
      </w:r>
      <w:r>
        <w:t xml:space="preserve">adopted </w:t>
      </w:r>
      <w:r w:rsidRPr="00EE5174">
        <w:t xml:space="preserve">by the Victoria Public Sector Commission </w:t>
      </w:r>
      <w:r>
        <w:t>and a</w:t>
      </w:r>
      <w:r w:rsidRPr="00EE5174">
        <w:t>dapted for use by boards across the Victorian public sector.  A great endorsement of DELWP</w:t>
      </w:r>
      <w:r w:rsidR="00BD6D1B" w:rsidRPr="00A17A6E">
        <w:t>'</w:t>
      </w:r>
      <w:r w:rsidRPr="00EE5174">
        <w:t xml:space="preserve">s model policy and </w:t>
      </w:r>
      <w:r>
        <w:t xml:space="preserve">of </w:t>
      </w:r>
      <w:r w:rsidRPr="00EE5174">
        <w:t xml:space="preserve">the </w:t>
      </w:r>
      <w:r>
        <w:t xml:space="preserve">ongoing </w:t>
      </w:r>
      <w:r w:rsidRPr="00EE5174">
        <w:t>collaboration between our two organisations</w:t>
      </w:r>
      <w:r>
        <w:t>.</w:t>
      </w:r>
      <w:r w:rsidRPr="00EE5174">
        <w:t xml:space="preserve">  </w:t>
      </w:r>
    </w:p>
    <w:p w:rsidR="00702FCD" w:rsidRPr="00EE5174" w:rsidRDefault="00702FCD" w:rsidP="00702FCD">
      <w:r w:rsidRPr="00EE5174">
        <w:t xml:space="preserve">Naturally, boards of DELWP agencies should continue to use </w:t>
      </w:r>
      <w:r>
        <w:t xml:space="preserve">the </w:t>
      </w:r>
      <w:r w:rsidRPr="00EE5174">
        <w:t xml:space="preserve">DELWP model policy, which is tailored </w:t>
      </w:r>
      <w:r>
        <w:t>specifically to your needs</w:t>
      </w:r>
      <w:r w:rsidRPr="00EE5174">
        <w:t xml:space="preserve">.  </w:t>
      </w:r>
      <w:r>
        <w:t xml:space="preserve">In addition to the </w:t>
      </w:r>
      <w:r w:rsidRPr="00EE5174">
        <w:t xml:space="preserve">standard </w:t>
      </w:r>
      <w:r>
        <w:t xml:space="preserve">model policy for </w:t>
      </w:r>
      <w:r w:rsidRPr="00EE5174">
        <w:t xml:space="preserve">major </w:t>
      </w:r>
      <w:r>
        <w:t xml:space="preserve">DELWP </w:t>
      </w:r>
      <w:r w:rsidRPr="00EE5174">
        <w:t>agencies</w:t>
      </w:r>
      <w:r>
        <w:t xml:space="preserve">, there is an edition for </w:t>
      </w:r>
      <w:r w:rsidRPr="00EE5174">
        <w:t>waste and resource recovery groups</w:t>
      </w:r>
      <w:r>
        <w:t xml:space="preserve"> and another for </w:t>
      </w:r>
      <w:r w:rsidRPr="00EE5174">
        <w:t xml:space="preserve">small (category 3) committees of management. </w:t>
      </w:r>
      <w:r>
        <w:t xml:space="preserve"> </w:t>
      </w:r>
    </w:p>
    <w:p w:rsidR="00702FCD" w:rsidRDefault="00702FCD" w:rsidP="00702FCD">
      <w:r w:rsidRPr="00CD63A5">
        <w:rPr>
          <w:b/>
          <w:color w:val="228591"/>
        </w:rPr>
        <w:t xml:space="preserve">Further </w:t>
      </w:r>
      <w:r w:rsidRPr="006A016D">
        <w:rPr>
          <w:b/>
          <w:color w:val="228591"/>
        </w:rPr>
        <w:t>information:</w:t>
      </w:r>
      <w:r>
        <w:rPr>
          <w:b/>
          <w:color w:val="228591"/>
        </w:rPr>
        <w:t xml:space="preserve"> </w:t>
      </w:r>
      <w:r w:rsidRPr="009864B2">
        <w:t>see the</w:t>
      </w:r>
      <w:r w:rsidRPr="006A016D">
        <w:t xml:space="preserve"> </w:t>
      </w:r>
      <w:hyperlink r:id="rId18" w:history="1">
        <w:r w:rsidRPr="006A016D">
          <w:rPr>
            <w:rStyle w:val="Hyperlink"/>
          </w:rPr>
          <w:t>Conflict of Interest</w:t>
        </w:r>
      </w:hyperlink>
      <w:r w:rsidRPr="006A016D">
        <w:t xml:space="preserve"> support module on</w:t>
      </w:r>
      <w:r>
        <w:t xml:space="preserve"> </w:t>
      </w:r>
      <w:proofErr w:type="spellStart"/>
      <w:r>
        <w:t>On</w:t>
      </w:r>
      <w:proofErr w:type="spellEnd"/>
      <w:r>
        <w:t xml:space="preserve"> Board.</w:t>
      </w:r>
    </w:p>
    <w:p w:rsidR="00702FCD" w:rsidRDefault="00702FCD" w:rsidP="00702FCD">
      <w:pPr>
        <w:pStyle w:val="Heading1"/>
      </w:pPr>
      <w:bookmarkStart w:id="2" w:name="_Conflict_of_interest"/>
      <w:bookmarkEnd w:id="2"/>
      <w:r w:rsidRPr="00A17A6E">
        <w:rPr>
          <w:noProof/>
          <w:lang w:eastAsia="en-AU"/>
        </w:rPr>
        <w:drawing>
          <wp:inline distT="0" distB="0" distL="0" distR="0" wp14:anchorId="3050C787" wp14:editId="26035F36">
            <wp:extent cx="371856" cy="371856"/>
            <wp:effectExtent l="0" t="0" r="9525" b="9525"/>
            <wp:docPr id="25" name="Picture 25"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797" cy="371797"/>
                    </a:xfrm>
                    <a:prstGeom prst="rect">
                      <a:avLst/>
                    </a:prstGeom>
                    <a:noFill/>
                    <a:ln>
                      <a:noFill/>
                    </a:ln>
                  </pic:spPr>
                </pic:pic>
              </a:graphicData>
            </a:graphic>
          </wp:inline>
        </w:drawing>
      </w:r>
      <w:r>
        <w:tab/>
        <w:t xml:space="preserve">Conflict of interest </w:t>
      </w:r>
      <w:r w:rsidR="00237070">
        <w:t>-</w:t>
      </w:r>
      <w:r>
        <w:t xml:space="preserve"> new simplified Declaration of Private Interests form!</w:t>
      </w:r>
    </w:p>
    <w:p w:rsidR="00702FCD" w:rsidRDefault="00702FCD" w:rsidP="00702FCD">
      <w:r>
        <w:t xml:space="preserve">Welcome news for board members who dread the usually onerous task of completing their annual </w:t>
      </w:r>
      <w:r w:rsidRPr="008902B6">
        <w:rPr>
          <w:i/>
        </w:rPr>
        <w:t>Declaration of Private Interests</w:t>
      </w:r>
      <w:r>
        <w:t xml:space="preserve"> (DOPI): DELWP has released a simplified version of the form. There are now only four questions, all of which you can answer by a </w:t>
      </w:r>
      <w:r w:rsidR="001E36DF" w:rsidRPr="00A17A6E">
        <w:t>'</w:t>
      </w:r>
      <w:r>
        <w:t>tick of the box</w:t>
      </w:r>
      <w:r w:rsidR="001E36DF" w:rsidRPr="00A17A6E">
        <w:t>'</w:t>
      </w:r>
      <w:r>
        <w:t>.  From now on, the only time you need to list your interests is if they are not already recorded in your board</w:t>
      </w:r>
      <w:r w:rsidR="001E36DF" w:rsidRPr="00A17A6E">
        <w:t>'</w:t>
      </w:r>
      <w:r>
        <w:t xml:space="preserve">s </w:t>
      </w:r>
      <w:r w:rsidRPr="00CA774B">
        <w:rPr>
          <w:i/>
        </w:rPr>
        <w:t>Register of Interest</w:t>
      </w:r>
      <w:r>
        <w:t xml:space="preserve">.  </w:t>
      </w:r>
    </w:p>
    <w:p w:rsidR="00702FCD" w:rsidRDefault="00702FCD" w:rsidP="00702FCD">
      <w:r>
        <w:t>Board members of water corporations, catchment management authorities, and any other boards whose establishing Act requires them to complete additional documents (such as primary and ordinary returns) can now simply attach this information to the new DOPI form.</w:t>
      </w:r>
    </w:p>
    <w:p w:rsidR="00702FCD" w:rsidRDefault="00702FCD" w:rsidP="00DA3A7E">
      <w:pPr>
        <w:spacing w:line="270" w:lineRule="atLeast"/>
      </w:pPr>
      <w:r w:rsidRPr="00283D79">
        <w:rPr>
          <w:b/>
          <w:color w:val="228591"/>
        </w:rPr>
        <w:t>Background:</w:t>
      </w:r>
      <w:r w:rsidRPr="00283D79">
        <w:rPr>
          <w:color w:val="4BACC6" w:themeColor="accent5"/>
        </w:rPr>
        <w:t xml:space="preserve"> </w:t>
      </w:r>
      <w:r>
        <w:t>t</w:t>
      </w:r>
      <w:r w:rsidRPr="00283D79">
        <w:t xml:space="preserve">he </w:t>
      </w:r>
      <w:hyperlink r:id="rId19" w:history="1">
        <w:r w:rsidRPr="00283D79">
          <w:rPr>
            <w:rStyle w:val="Hyperlink"/>
          </w:rPr>
          <w:t>Appointment and Remuneration Guidelines</w:t>
        </w:r>
      </w:hyperlink>
      <w:r w:rsidRPr="00283D79">
        <w:t xml:space="preserve"> issued by the Department of Premier and Cabinet</w:t>
      </w:r>
      <w:r>
        <w:t xml:space="preserve"> </w:t>
      </w:r>
      <w:r w:rsidRPr="00283D79">
        <w:t xml:space="preserve">require board members of </w:t>
      </w:r>
      <w:r>
        <w:t xml:space="preserve">all </w:t>
      </w:r>
      <w:r w:rsidRPr="00283D79">
        <w:t>Victorian public sector boards to complete an annual</w:t>
      </w:r>
      <w:r>
        <w:t xml:space="preserve"> DOPI.  An update should also be lodged i</w:t>
      </w:r>
      <w:r w:rsidR="00E520ED">
        <w:t>f</w:t>
      </w:r>
      <w:r>
        <w:t xml:space="preserve"> there is a relevant change in your interests</w:t>
      </w:r>
      <w:r w:rsidRPr="00283D79">
        <w:t>.</w:t>
      </w:r>
    </w:p>
    <w:p w:rsidR="00702FCD" w:rsidRDefault="00702FCD" w:rsidP="00DA3A7E">
      <w:pPr>
        <w:spacing w:line="260" w:lineRule="atLeast"/>
      </w:pPr>
      <w:r w:rsidRPr="00CD63A5">
        <w:rPr>
          <w:b/>
          <w:color w:val="228591"/>
        </w:rPr>
        <w:t xml:space="preserve">Further </w:t>
      </w:r>
      <w:r w:rsidRPr="006A016D">
        <w:rPr>
          <w:b/>
          <w:color w:val="228591"/>
        </w:rPr>
        <w:t>information:</w:t>
      </w:r>
      <w:r>
        <w:rPr>
          <w:b/>
          <w:color w:val="228591"/>
        </w:rPr>
        <w:t xml:space="preserve"> </w:t>
      </w:r>
      <w:r w:rsidRPr="009864B2">
        <w:t>see the</w:t>
      </w:r>
      <w:r w:rsidRPr="006A016D">
        <w:t xml:space="preserve"> </w:t>
      </w:r>
      <w:hyperlink r:id="rId20" w:history="1">
        <w:r w:rsidRPr="006A016D">
          <w:rPr>
            <w:rStyle w:val="Hyperlink"/>
          </w:rPr>
          <w:t>Conflict of Interest</w:t>
        </w:r>
      </w:hyperlink>
      <w:r w:rsidRPr="006A016D">
        <w:t xml:space="preserve"> support module on On Board</w:t>
      </w:r>
      <w:r>
        <w:t>.</w:t>
      </w:r>
    </w:p>
    <w:p w:rsidR="006B7340" w:rsidRDefault="006B7340" w:rsidP="006B7340">
      <w:pPr>
        <w:pStyle w:val="Heading1"/>
      </w:pPr>
      <w:bookmarkStart w:id="3" w:name="_Meetings_and_decisions"/>
      <w:bookmarkEnd w:id="3"/>
      <w:r w:rsidRPr="00A17A6E">
        <w:rPr>
          <w:noProof/>
          <w:lang w:eastAsia="en-AU"/>
        </w:rPr>
        <w:drawing>
          <wp:inline distT="0" distB="0" distL="0" distR="0" wp14:anchorId="6A6853EF" wp14:editId="3F68F64E">
            <wp:extent cx="371856" cy="371856"/>
            <wp:effectExtent l="0" t="0" r="9525" b="9525"/>
            <wp:docPr id="3" name="Picture 3"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797" cy="371797"/>
                    </a:xfrm>
                    <a:prstGeom prst="rect">
                      <a:avLst/>
                    </a:prstGeom>
                    <a:noFill/>
                    <a:ln>
                      <a:noFill/>
                    </a:ln>
                  </pic:spPr>
                </pic:pic>
              </a:graphicData>
            </a:graphic>
          </wp:inline>
        </w:drawing>
      </w:r>
      <w:r>
        <w:tab/>
        <w:t xml:space="preserve">Meetings and decisions </w:t>
      </w:r>
      <w:r w:rsidR="00237070">
        <w:t>-</w:t>
      </w:r>
      <w:r>
        <w:t xml:space="preserve"> update to DELWP model policy</w:t>
      </w:r>
    </w:p>
    <w:p w:rsidR="00BD4B7D" w:rsidRDefault="006B7340" w:rsidP="006B7340">
      <w:r>
        <w:t>The update to DELWP</w:t>
      </w:r>
      <w:r w:rsidR="001E36DF" w:rsidRPr="00A17A6E">
        <w:t>'</w:t>
      </w:r>
      <w:r>
        <w:t xml:space="preserve">s model policy for boards on </w:t>
      </w:r>
      <w:hyperlink r:id="rId21" w:history="1">
        <w:r w:rsidRPr="006B7340">
          <w:rPr>
            <w:rStyle w:val="Hyperlink"/>
          </w:rPr>
          <w:t>Meetings and decisions</w:t>
        </w:r>
      </w:hyperlink>
      <w:r>
        <w:t xml:space="preserve"> has been released</w:t>
      </w:r>
      <w:r w:rsidR="00BD4B7D">
        <w:t>, together with</w:t>
      </w:r>
      <w:r>
        <w:t xml:space="preserve"> editions for waste and resource and recovery groups and </w:t>
      </w:r>
      <w:r w:rsidRPr="00EE5174">
        <w:t>small (category 3) committees of management</w:t>
      </w:r>
      <w:r>
        <w:t xml:space="preserve">.  </w:t>
      </w:r>
      <w:r w:rsidR="00BD4B7D">
        <w:t xml:space="preserve">New inclusions include: </w:t>
      </w:r>
    </w:p>
    <w:p w:rsidR="00BD4B7D" w:rsidRDefault="008D42BC" w:rsidP="00BD4B7D">
      <w:pPr>
        <w:pStyle w:val="ListBullet"/>
      </w:pPr>
      <w:r>
        <w:t>a</w:t>
      </w:r>
      <w:r w:rsidR="007E2005">
        <w:t xml:space="preserve"> requirement for board members to confirm at the start of </w:t>
      </w:r>
      <w:r w:rsidR="00885253">
        <w:t>each board</w:t>
      </w:r>
      <w:r w:rsidR="007E2005">
        <w:t xml:space="preserve"> meeting that their entries in the </w:t>
      </w:r>
      <w:r w:rsidR="00BD4B7D">
        <w:rPr>
          <w:i/>
        </w:rPr>
        <w:t>Gifts R</w:t>
      </w:r>
      <w:r w:rsidR="00BD4B7D" w:rsidRPr="00BD4B7D">
        <w:rPr>
          <w:i/>
        </w:rPr>
        <w:t xml:space="preserve">egister </w:t>
      </w:r>
      <w:r w:rsidR="00BD4B7D">
        <w:t xml:space="preserve">and the </w:t>
      </w:r>
      <w:r w:rsidR="00BD4B7D" w:rsidRPr="00BD4B7D">
        <w:rPr>
          <w:i/>
        </w:rPr>
        <w:t>Register of Interests</w:t>
      </w:r>
      <w:r w:rsidR="00BD4B7D">
        <w:t xml:space="preserve"> are </w:t>
      </w:r>
      <w:r w:rsidR="001B64B9" w:rsidRPr="00A17A6E">
        <w:t>'</w:t>
      </w:r>
      <w:r w:rsidR="00BD4B7D">
        <w:t>complete and correct</w:t>
      </w:r>
      <w:r w:rsidR="001B64B9" w:rsidRPr="00A17A6E">
        <w:t>'</w:t>
      </w:r>
    </w:p>
    <w:p w:rsidR="00DA1819" w:rsidRDefault="00BD4B7D" w:rsidP="00DA1819">
      <w:pPr>
        <w:pStyle w:val="ListBullet"/>
      </w:pPr>
      <w:r>
        <w:t xml:space="preserve">a process for </w:t>
      </w:r>
      <w:r w:rsidR="00E034C4">
        <w:t xml:space="preserve">board </w:t>
      </w:r>
      <w:r>
        <w:t xml:space="preserve">resolutions </w:t>
      </w:r>
      <w:r w:rsidR="006A0713">
        <w:t>where urgent decisions are required between board</w:t>
      </w:r>
      <w:r>
        <w:t xml:space="preserve"> meetings.  </w:t>
      </w:r>
    </w:p>
    <w:p w:rsidR="007A1248" w:rsidRDefault="007A1248" w:rsidP="007A1248">
      <w:r>
        <w:t xml:space="preserve">The </w:t>
      </w:r>
      <w:r w:rsidRPr="008D42BC">
        <w:rPr>
          <w:i/>
        </w:rPr>
        <w:t>About the model policy</w:t>
      </w:r>
      <w:r>
        <w:t xml:space="preserve"> guid</w:t>
      </w:r>
      <w:r w:rsidR="005455C6">
        <w:t>ance note has also been updated</w:t>
      </w:r>
      <w:r w:rsidR="00D40D1A">
        <w:t xml:space="preserve"> and a new </w:t>
      </w:r>
      <w:r w:rsidR="001E36DF" w:rsidRPr="00A17A6E">
        <w:t>'</w:t>
      </w:r>
      <w:r w:rsidR="00D40D1A">
        <w:t>overview</w:t>
      </w:r>
      <w:r w:rsidR="001E36DF" w:rsidRPr="00A17A6E">
        <w:t>'</w:t>
      </w:r>
      <w:r w:rsidR="00D40D1A">
        <w:t xml:space="preserve"> guidance note </w:t>
      </w:r>
      <w:r w:rsidR="00001C57">
        <w:t>issued</w:t>
      </w:r>
      <w:r w:rsidR="00D40D1A">
        <w:t>.</w:t>
      </w:r>
    </w:p>
    <w:p w:rsidR="006B7340" w:rsidRDefault="006B7340" w:rsidP="006B7340">
      <w:r w:rsidRPr="00CD63A5">
        <w:rPr>
          <w:b/>
          <w:color w:val="228591"/>
        </w:rPr>
        <w:t xml:space="preserve">Further </w:t>
      </w:r>
      <w:r w:rsidRPr="006A016D">
        <w:rPr>
          <w:b/>
          <w:color w:val="228591"/>
        </w:rPr>
        <w:t>information:</w:t>
      </w:r>
      <w:r>
        <w:rPr>
          <w:b/>
          <w:color w:val="228591"/>
        </w:rPr>
        <w:t xml:space="preserve"> </w:t>
      </w:r>
      <w:r w:rsidRPr="009864B2">
        <w:t>see the</w:t>
      </w:r>
      <w:r>
        <w:t xml:space="preserve"> </w:t>
      </w:r>
      <w:hyperlink r:id="rId22" w:history="1">
        <w:r w:rsidRPr="006B7340">
          <w:rPr>
            <w:rStyle w:val="Hyperlink"/>
          </w:rPr>
          <w:t>Meetings and decisions</w:t>
        </w:r>
      </w:hyperlink>
      <w:r w:rsidRPr="006A016D">
        <w:t xml:space="preserve"> support module</w:t>
      </w:r>
      <w:r w:rsidR="008D42BC">
        <w:t xml:space="preserve"> on On Board</w:t>
      </w:r>
      <w:r>
        <w:t>.</w:t>
      </w:r>
      <w:r w:rsidR="008D42BC">
        <w:t xml:space="preserve">  </w:t>
      </w:r>
    </w:p>
    <w:p w:rsidR="00E15030" w:rsidRDefault="00E15030" w:rsidP="00E15030">
      <w:pPr>
        <w:pStyle w:val="Heading1"/>
      </w:pPr>
      <w:bookmarkStart w:id="4" w:name="_Code_of_conduct_1"/>
      <w:bookmarkStart w:id="5" w:name="_Induction_and_education_1"/>
      <w:bookmarkEnd w:id="4"/>
      <w:bookmarkEnd w:id="5"/>
      <w:r w:rsidRPr="00A17A6E">
        <w:rPr>
          <w:noProof/>
          <w:lang w:eastAsia="en-AU"/>
        </w:rPr>
        <w:drawing>
          <wp:inline distT="0" distB="0" distL="0" distR="0" wp14:anchorId="38BDD931" wp14:editId="6641F1E2">
            <wp:extent cx="371856" cy="371856"/>
            <wp:effectExtent l="0" t="0" r="9525" b="9525"/>
            <wp:docPr id="5" name="Picture 5"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797" cy="371797"/>
                    </a:xfrm>
                    <a:prstGeom prst="rect">
                      <a:avLst/>
                    </a:prstGeom>
                    <a:noFill/>
                    <a:ln>
                      <a:noFill/>
                    </a:ln>
                  </pic:spPr>
                </pic:pic>
              </a:graphicData>
            </a:graphic>
          </wp:inline>
        </w:drawing>
      </w:r>
      <w:r>
        <w:tab/>
        <w:t xml:space="preserve">Induction and education </w:t>
      </w:r>
      <w:r w:rsidR="00237070">
        <w:t>-</w:t>
      </w:r>
      <w:r>
        <w:t xml:space="preserve"> new guidance for major DELWP agencies </w:t>
      </w:r>
    </w:p>
    <w:p w:rsidR="00E15030" w:rsidRDefault="00E15030" w:rsidP="00E15030">
      <w:pPr>
        <w:rPr>
          <w:lang w:val="en" w:eastAsia="en-AU"/>
        </w:rPr>
      </w:pPr>
      <w:r>
        <w:t>E</w:t>
      </w:r>
      <w:r>
        <w:rPr>
          <w:lang w:val="en" w:eastAsia="en-AU"/>
        </w:rPr>
        <w:t>very</w:t>
      </w:r>
      <w:r w:rsidRPr="001515D6">
        <w:rPr>
          <w:lang w:val="en" w:eastAsia="en-AU"/>
        </w:rPr>
        <w:t xml:space="preserve"> </w:t>
      </w:r>
      <w:r>
        <w:rPr>
          <w:lang w:val="en" w:eastAsia="en-AU"/>
        </w:rPr>
        <w:t>member</w:t>
      </w:r>
      <w:r w:rsidRPr="001515D6">
        <w:rPr>
          <w:lang w:val="en" w:eastAsia="en-AU"/>
        </w:rPr>
        <w:t xml:space="preserve"> </w:t>
      </w:r>
      <w:r>
        <w:rPr>
          <w:lang w:val="en" w:eastAsia="en-AU"/>
        </w:rPr>
        <w:t xml:space="preserve">appointed to the board of a major DELWP agency </w:t>
      </w:r>
      <w:r w:rsidRPr="001515D6">
        <w:rPr>
          <w:lang w:val="en" w:eastAsia="en-AU"/>
        </w:rPr>
        <w:t>should be provided with a suitable</w:t>
      </w:r>
      <w:r>
        <w:rPr>
          <w:lang w:val="en" w:eastAsia="en-AU"/>
        </w:rPr>
        <w:t xml:space="preserve"> </w:t>
      </w:r>
      <w:r w:rsidRPr="008516C7">
        <w:rPr>
          <w:lang w:val="en" w:eastAsia="en-AU"/>
        </w:rPr>
        <w:t>induction</w:t>
      </w:r>
      <w:r w:rsidRPr="008516C7">
        <w:rPr>
          <w:b/>
          <w:lang w:val="en" w:eastAsia="en-AU"/>
        </w:rPr>
        <w:t xml:space="preserve"> </w:t>
      </w:r>
      <w:r w:rsidRPr="00B4747F">
        <w:rPr>
          <w:lang w:val="en" w:eastAsia="en-AU"/>
        </w:rPr>
        <w:t>program and kit</w:t>
      </w:r>
      <w:r w:rsidRPr="005B56AA">
        <w:rPr>
          <w:lang w:val="en" w:eastAsia="en-AU"/>
        </w:rPr>
        <w:t xml:space="preserve"> by the agency, under the</w:t>
      </w:r>
      <w:r>
        <w:rPr>
          <w:lang w:val="en" w:eastAsia="en-AU"/>
        </w:rPr>
        <w:t xml:space="preserve"> direction of the chair. </w:t>
      </w:r>
      <w:r w:rsidRPr="008516C7">
        <w:rPr>
          <w:lang w:val="en" w:eastAsia="en-AU"/>
        </w:rPr>
        <w:t>It is recommended that the chair also conduct a</w:t>
      </w:r>
      <w:r>
        <w:rPr>
          <w:lang w:val="en" w:eastAsia="en-AU"/>
        </w:rPr>
        <w:t>n</w:t>
      </w:r>
      <w:r w:rsidRPr="008516C7">
        <w:rPr>
          <w:lang w:val="en" w:eastAsia="en-AU"/>
        </w:rPr>
        <w:t xml:space="preserve"> induction</w:t>
      </w:r>
      <w:r w:rsidRPr="008516C7">
        <w:rPr>
          <w:b/>
          <w:lang w:val="en" w:eastAsia="en-AU"/>
        </w:rPr>
        <w:t xml:space="preserve"> </w:t>
      </w:r>
      <w:r w:rsidRPr="00B4747F">
        <w:rPr>
          <w:lang w:val="en" w:eastAsia="en-AU"/>
        </w:rPr>
        <w:t>briefing,</w:t>
      </w:r>
      <w:r w:rsidR="00CB14C1">
        <w:rPr>
          <w:lang w:val="en" w:eastAsia="en-AU"/>
        </w:rPr>
        <w:t xml:space="preserve"> preferably one-on-</w:t>
      </w:r>
      <w:r w:rsidRPr="008516C7">
        <w:rPr>
          <w:lang w:val="en" w:eastAsia="en-AU"/>
        </w:rPr>
        <w:t>one.</w:t>
      </w:r>
      <w:r>
        <w:rPr>
          <w:lang w:val="en" w:eastAsia="en-AU"/>
        </w:rPr>
        <w:t xml:space="preserve"> To assist, DELWP has updated and expanded the induction resources it provides, including: </w:t>
      </w:r>
    </w:p>
    <w:p w:rsidR="00E15030" w:rsidRDefault="00E15030" w:rsidP="00E15030">
      <w:pPr>
        <w:pStyle w:val="ListBullet"/>
        <w:rPr>
          <w:lang w:val="en" w:eastAsia="en-AU"/>
        </w:rPr>
      </w:pPr>
      <w:r w:rsidRPr="004308F7">
        <w:rPr>
          <w:lang w:val="en" w:eastAsia="en-AU"/>
        </w:rPr>
        <w:t xml:space="preserve">a guidance note </w:t>
      </w:r>
      <w:r>
        <w:rPr>
          <w:lang w:val="en" w:eastAsia="en-AU"/>
        </w:rPr>
        <w:t>on</w:t>
      </w:r>
      <w:r w:rsidRPr="004308F7">
        <w:rPr>
          <w:lang w:val="en" w:eastAsia="en-AU"/>
        </w:rPr>
        <w:t xml:space="preserve"> the</w:t>
      </w:r>
      <w:r>
        <w:rPr>
          <w:i/>
          <w:lang w:val="en" w:eastAsia="en-AU"/>
        </w:rPr>
        <w:t xml:space="preserve"> </w:t>
      </w:r>
      <w:r w:rsidRPr="004308F7">
        <w:rPr>
          <w:i/>
          <w:lang w:val="en" w:eastAsia="en-AU"/>
        </w:rPr>
        <w:t>Governance resources available from DELWP</w:t>
      </w:r>
    </w:p>
    <w:p w:rsidR="00E15030" w:rsidRDefault="00E15030" w:rsidP="00E15030">
      <w:pPr>
        <w:pStyle w:val="ListBullet"/>
        <w:rPr>
          <w:lang w:val="en" w:eastAsia="en-AU"/>
        </w:rPr>
      </w:pPr>
      <w:r>
        <w:rPr>
          <w:lang w:val="en" w:eastAsia="en-AU"/>
        </w:rPr>
        <w:t xml:space="preserve"> </w:t>
      </w:r>
      <w:r w:rsidR="001B64B9" w:rsidRPr="00A17A6E">
        <w:t>'</w:t>
      </w:r>
      <w:r>
        <w:rPr>
          <w:lang w:val="en" w:eastAsia="en-AU"/>
        </w:rPr>
        <w:t>overview</w:t>
      </w:r>
      <w:r w:rsidR="001B64B9" w:rsidRPr="00A17A6E">
        <w:t>'</w:t>
      </w:r>
      <w:r>
        <w:rPr>
          <w:lang w:val="en" w:eastAsia="en-AU"/>
        </w:rPr>
        <w:t xml:space="preserve"> guidance notes on </w:t>
      </w:r>
      <w:r w:rsidRPr="004308F7">
        <w:rPr>
          <w:i/>
          <w:lang w:val="en" w:eastAsia="en-AU"/>
        </w:rPr>
        <w:t>Meetings and decisions</w:t>
      </w:r>
      <w:r>
        <w:rPr>
          <w:lang w:val="en" w:eastAsia="en-AU"/>
        </w:rPr>
        <w:t xml:space="preserve"> and </w:t>
      </w:r>
      <w:r w:rsidRPr="004308F7">
        <w:rPr>
          <w:i/>
          <w:lang w:val="en" w:eastAsia="en-AU"/>
        </w:rPr>
        <w:t>Conflict of interest</w:t>
      </w:r>
      <w:r>
        <w:rPr>
          <w:i/>
          <w:lang w:val="en" w:eastAsia="en-AU"/>
        </w:rPr>
        <w:t xml:space="preserve">.  </w:t>
      </w:r>
    </w:p>
    <w:p w:rsidR="00E15030" w:rsidRDefault="00E15030" w:rsidP="00E15030">
      <w:pPr>
        <w:rPr>
          <w:lang w:val="en" w:eastAsia="en-AU"/>
        </w:rPr>
      </w:pPr>
      <w:r>
        <w:rPr>
          <w:lang w:val="en" w:eastAsia="en-AU"/>
        </w:rPr>
        <w:t>DELWP recommends that these new resources be included in all induction kits.  They are also useful</w:t>
      </w:r>
      <w:r w:rsidR="00164CD8">
        <w:rPr>
          <w:lang w:val="en" w:eastAsia="en-AU"/>
        </w:rPr>
        <w:t xml:space="preserve"> as a</w:t>
      </w:r>
      <w:r>
        <w:rPr>
          <w:lang w:val="en" w:eastAsia="en-AU"/>
        </w:rPr>
        <w:t xml:space="preserve"> </w:t>
      </w:r>
      <w:r w:rsidR="002621E9" w:rsidRPr="00A17A6E">
        <w:t>'</w:t>
      </w:r>
      <w:r>
        <w:rPr>
          <w:lang w:val="en" w:eastAsia="en-AU"/>
        </w:rPr>
        <w:t>refresher</w:t>
      </w:r>
      <w:r w:rsidR="002621E9" w:rsidRPr="00A17A6E">
        <w:t>'</w:t>
      </w:r>
      <w:r>
        <w:rPr>
          <w:lang w:val="en" w:eastAsia="en-AU"/>
        </w:rPr>
        <w:t xml:space="preserve"> to assist ex</w:t>
      </w:r>
      <w:r w:rsidR="0013152B">
        <w:rPr>
          <w:lang w:val="en" w:eastAsia="en-AU"/>
        </w:rPr>
        <w:t>isting board members to keep up-to-</w:t>
      </w:r>
      <w:r>
        <w:rPr>
          <w:lang w:val="en" w:eastAsia="en-AU"/>
        </w:rPr>
        <w:t xml:space="preserve">date with governance obligations and good practice.  </w:t>
      </w:r>
    </w:p>
    <w:p w:rsidR="00E15030" w:rsidRDefault="000E549E" w:rsidP="00E15030">
      <w:pPr>
        <w:rPr>
          <w:lang w:val="en" w:eastAsia="en-AU"/>
        </w:rPr>
      </w:pPr>
      <w:r>
        <w:rPr>
          <w:lang w:val="en" w:eastAsia="en-AU"/>
        </w:rPr>
        <w:lastRenderedPageBreak/>
        <w:t xml:space="preserve">To further </w:t>
      </w:r>
      <w:r w:rsidR="00542775">
        <w:rPr>
          <w:lang w:val="en" w:eastAsia="en-AU"/>
        </w:rPr>
        <w:t>support</w:t>
      </w:r>
      <w:r>
        <w:rPr>
          <w:lang w:val="en" w:eastAsia="en-AU"/>
        </w:rPr>
        <w:t xml:space="preserve"> your agency, </w:t>
      </w:r>
      <w:r w:rsidR="007F59A1">
        <w:rPr>
          <w:lang w:val="en" w:eastAsia="en-AU"/>
        </w:rPr>
        <w:t>the</w:t>
      </w:r>
      <w:r>
        <w:rPr>
          <w:lang w:val="en" w:eastAsia="en-AU"/>
        </w:rPr>
        <w:t xml:space="preserve"> recently</w:t>
      </w:r>
      <w:r w:rsidR="00E15030">
        <w:rPr>
          <w:lang w:val="en" w:eastAsia="en-AU"/>
        </w:rPr>
        <w:t xml:space="preserve"> updated </w:t>
      </w:r>
      <w:r w:rsidR="00E15030" w:rsidRPr="00F51571">
        <w:rPr>
          <w:i/>
          <w:lang w:val="en" w:eastAsia="en-AU"/>
        </w:rPr>
        <w:t>Induction Programs and Kits</w:t>
      </w:r>
      <w:r w:rsidR="00E15030">
        <w:rPr>
          <w:lang w:val="en" w:eastAsia="en-AU"/>
        </w:rPr>
        <w:t xml:space="preserve"> </w:t>
      </w:r>
      <w:r w:rsidR="007F59A1">
        <w:rPr>
          <w:lang w:val="en" w:eastAsia="en-AU"/>
        </w:rPr>
        <w:t xml:space="preserve">guidance note </w:t>
      </w:r>
      <w:r w:rsidR="00E15030">
        <w:rPr>
          <w:lang w:val="en" w:eastAsia="en-AU"/>
        </w:rPr>
        <w:t xml:space="preserve">sets out the </w:t>
      </w:r>
      <w:r w:rsidR="00E15030" w:rsidRPr="00F51571">
        <w:rPr>
          <w:lang w:val="en" w:eastAsia="en-AU"/>
        </w:rPr>
        <w:t>recommended contents</w:t>
      </w:r>
      <w:r w:rsidR="00E15030">
        <w:rPr>
          <w:lang w:val="en" w:eastAsia="en-AU"/>
        </w:rPr>
        <w:t xml:space="preserve"> for </w:t>
      </w:r>
      <w:r>
        <w:rPr>
          <w:lang w:val="en" w:eastAsia="en-AU"/>
        </w:rPr>
        <w:t>your agency</w:t>
      </w:r>
      <w:r w:rsidR="002621E9" w:rsidRPr="00A17A6E">
        <w:t>'</w:t>
      </w:r>
      <w:r>
        <w:rPr>
          <w:lang w:val="en" w:eastAsia="en-AU"/>
        </w:rPr>
        <w:t>s induction program and induction kit for board members</w:t>
      </w:r>
      <w:r w:rsidR="00E15030">
        <w:rPr>
          <w:lang w:val="en" w:eastAsia="en-AU"/>
        </w:rPr>
        <w:t>.</w:t>
      </w:r>
    </w:p>
    <w:p w:rsidR="00E15030" w:rsidRDefault="00E15030" w:rsidP="00E15030">
      <w:r w:rsidRPr="00CD63A5">
        <w:rPr>
          <w:b/>
          <w:color w:val="228591"/>
        </w:rPr>
        <w:t xml:space="preserve">Further </w:t>
      </w:r>
      <w:r w:rsidRPr="006A016D">
        <w:rPr>
          <w:b/>
          <w:color w:val="228591"/>
        </w:rPr>
        <w:t>information:</w:t>
      </w:r>
      <w:r>
        <w:rPr>
          <w:b/>
          <w:color w:val="228591"/>
        </w:rPr>
        <w:t xml:space="preserve"> </w:t>
      </w:r>
      <w:r w:rsidRPr="009864B2">
        <w:t>see the</w:t>
      </w:r>
      <w:r>
        <w:t xml:space="preserve"> </w:t>
      </w:r>
      <w:hyperlink r:id="rId23" w:history="1">
        <w:r w:rsidRPr="007A1248">
          <w:rPr>
            <w:rStyle w:val="Hyperlink"/>
          </w:rPr>
          <w:t>Induction and education</w:t>
        </w:r>
      </w:hyperlink>
      <w:r>
        <w:t xml:space="preserve"> </w:t>
      </w:r>
      <w:r w:rsidRPr="006A016D">
        <w:t>support module</w:t>
      </w:r>
      <w:r>
        <w:t xml:space="preserve"> on On Board.  </w:t>
      </w:r>
    </w:p>
    <w:p w:rsidR="00E15030" w:rsidRDefault="00E15030" w:rsidP="00E15030">
      <w:pPr>
        <w:pStyle w:val="Heading1"/>
      </w:pPr>
      <w:bookmarkStart w:id="6" w:name="_Small_committees_of"/>
      <w:bookmarkEnd w:id="6"/>
      <w:r w:rsidRPr="00A17A6E">
        <w:rPr>
          <w:noProof/>
          <w:lang w:eastAsia="en-AU"/>
        </w:rPr>
        <w:drawing>
          <wp:inline distT="0" distB="0" distL="0" distR="0" wp14:anchorId="0AE95714" wp14:editId="34BE43ED">
            <wp:extent cx="371856" cy="371856"/>
            <wp:effectExtent l="0" t="0" r="9525" b="9525"/>
            <wp:docPr id="4" name="Picture 4"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797" cy="371797"/>
                    </a:xfrm>
                    <a:prstGeom prst="rect">
                      <a:avLst/>
                    </a:prstGeom>
                    <a:noFill/>
                    <a:ln>
                      <a:noFill/>
                    </a:ln>
                  </pic:spPr>
                </pic:pic>
              </a:graphicData>
            </a:graphic>
          </wp:inline>
        </w:drawing>
      </w:r>
      <w:r>
        <w:tab/>
        <w:t xml:space="preserve">Small committees of management </w:t>
      </w:r>
      <w:r w:rsidR="00237070">
        <w:t>-</w:t>
      </w:r>
      <w:r>
        <w:t xml:space="preserve"> new induction pack and policy pack</w:t>
      </w:r>
    </w:p>
    <w:p w:rsidR="00E15030" w:rsidRDefault="00E15030" w:rsidP="00E15030">
      <w:r>
        <w:t xml:space="preserve">Over 840,000 </w:t>
      </w:r>
      <w:r w:rsidR="00E45922">
        <w:t xml:space="preserve">hours </w:t>
      </w:r>
      <w:r>
        <w:t xml:space="preserve">of voluntary labour are contributed each year by committees who manage crown land reserves on behalf of their </w:t>
      </w:r>
      <w:r w:rsidR="00EC4220">
        <w:t xml:space="preserve">local </w:t>
      </w:r>
      <w:r>
        <w:t>community, such as recreation reserves</w:t>
      </w:r>
      <w:r w:rsidR="00EC4220">
        <w:t xml:space="preserve"> and public halls</w:t>
      </w:r>
      <w:r>
        <w:t xml:space="preserve">.  To assist, DELWP has released guidance </w:t>
      </w:r>
      <w:r w:rsidR="0064472F">
        <w:t xml:space="preserve">that is </w:t>
      </w:r>
      <w:r>
        <w:t>written specifically for these small (category 3) committees, including:</w:t>
      </w:r>
    </w:p>
    <w:p w:rsidR="00E15030" w:rsidRDefault="00E15030" w:rsidP="00E15030">
      <w:pPr>
        <w:pStyle w:val="ListBullet"/>
      </w:pPr>
      <w:r w:rsidRPr="002A5F6A">
        <w:rPr>
          <w:i/>
        </w:rPr>
        <w:t>Help from DELWP</w:t>
      </w:r>
      <w:r w:rsidRPr="00CD2054">
        <w:t>, a</w:t>
      </w:r>
      <w:r>
        <w:t xml:space="preserve"> guidance note that lists the resources and support available from DELWP</w:t>
      </w:r>
    </w:p>
    <w:p w:rsidR="00E15030" w:rsidRDefault="00E15030" w:rsidP="00E15030">
      <w:pPr>
        <w:pStyle w:val="ListBullet"/>
      </w:pPr>
      <w:r>
        <w:t xml:space="preserve">an </w:t>
      </w:r>
      <w:r w:rsidRPr="00B21B3B">
        <w:rPr>
          <w:b/>
        </w:rPr>
        <w:t>induction pack</w:t>
      </w:r>
      <w:r>
        <w:t xml:space="preserve"> with guidance notes on meetings and decisions, conflict of interest, dispute resolution, and</w:t>
      </w:r>
      <w:r w:rsidR="005B4749">
        <w:t xml:space="preserve"> code of conduct </w:t>
      </w:r>
      <w:r w:rsidR="00766143">
        <w:t>(including gifts)</w:t>
      </w:r>
      <w:r>
        <w:t xml:space="preserve"> </w:t>
      </w:r>
    </w:p>
    <w:p w:rsidR="00E15030" w:rsidRDefault="00E15030" w:rsidP="00E15030">
      <w:pPr>
        <w:pStyle w:val="ListBullet"/>
      </w:pPr>
      <w:r>
        <w:t xml:space="preserve">a </w:t>
      </w:r>
      <w:r w:rsidRPr="00B21B3B">
        <w:rPr>
          <w:b/>
        </w:rPr>
        <w:t>policy pack</w:t>
      </w:r>
      <w:r>
        <w:t xml:space="preserve"> with model policies on the above topics, which committees can simply insert their name into and adopt. </w:t>
      </w:r>
    </w:p>
    <w:p w:rsidR="00E15030" w:rsidRDefault="00444637" w:rsidP="00E15030">
      <w:r>
        <w:t>An</w:t>
      </w:r>
      <w:r w:rsidR="00E15030">
        <w:t xml:space="preserve"> update to the </w:t>
      </w:r>
      <w:r w:rsidR="00E15030" w:rsidRPr="002A5F6A">
        <w:rPr>
          <w:i/>
        </w:rPr>
        <w:t>Committees of management responsibilities and good practice guidelines</w:t>
      </w:r>
      <w:r w:rsidR="00E15030">
        <w:t xml:space="preserve"> will also be available shortly.</w:t>
      </w:r>
    </w:p>
    <w:p w:rsidR="00E15030" w:rsidRDefault="00E15030" w:rsidP="00E15030">
      <w:r w:rsidRPr="00CD63A5">
        <w:rPr>
          <w:b/>
          <w:color w:val="228591"/>
        </w:rPr>
        <w:t xml:space="preserve">Further </w:t>
      </w:r>
      <w:r w:rsidRPr="006A016D">
        <w:rPr>
          <w:b/>
          <w:color w:val="228591"/>
        </w:rPr>
        <w:t>information:</w:t>
      </w:r>
      <w:r>
        <w:rPr>
          <w:b/>
          <w:color w:val="228591"/>
        </w:rPr>
        <w:t xml:space="preserve"> </w:t>
      </w:r>
      <w:r w:rsidRPr="009864B2">
        <w:t>see the</w:t>
      </w:r>
      <w:r>
        <w:t xml:space="preserve"> </w:t>
      </w:r>
      <w:hyperlink r:id="rId24" w:history="1">
        <w:r w:rsidRPr="00BA6FE6">
          <w:rPr>
            <w:rStyle w:val="Hyperlink"/>
          </w:rPr>
          <w:t>Committees of management</w:t>
        </w:r>
      </w:hyperlink>
      <w:r>
        <w:t xml:space="preserve"> </w:t>
      </w:r>
      <w:r w:rsidRPr="006A016D">
        <w:t>support module</w:t>
      </w:r>
      <w:r>
        <w:t xml:space="preserve"> on On Board.  </w:t>
      </w:r>
    </w:p>
    <w:p w:rsidR="000D4194" w:rsidRPr="00A17A6E" w:rsidRDefault="000D4194" w:rsidP="000D4194">
      <w:pPr>
        <w:pStyle w:val="Heading1"/>
      </w:pPr>
      <w:bookmarkStart w:id="7" w:name="_Induction_and_education"/>
      <w:bookmarkEnd w:id="7"/>
      <w:r w:rsidRPr="00A17A6E">
        <w:rPr>
          <w:noProof/>
          <w:lang w:eastAsia="en-AU"/>
        </w:rPr>
        <w:drawing>
          <wp:inline distT="0" distB="0" distL="0" distR="0" wp14:anchorId="0240B4A4" wp14:editId="075EAD61">
            <wp:extent cx="371856" cy="371856"/>
            <wp:effectExtent l="0" t="0" r="9525" b="9525"/>
            <wp:docPr id="28" name="Picture 28"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797" cy="371797"/>
                    </a:xfrm>
                    <a:prstGeom prst="rect">
                      <a:avLst/>
                    </a:prstGeom>
                    <a:noFill/>
                    <a:ln>
                      <a:noFill/>
                    </a:ln>
                  </pic:spPr>
                </pic:pic>
              </a:graphicData>
            </a:graphic>
          </wp:inline>
        </w:drawing>
      </w:r>
      <w:r>
        <w:tab/>
        <w:t xml:space="preserve">Protected Disclosures to IBAC </w:t>
      </w:r>
      <w:r w:rsidR="00237070">
        <w:t>-</w:t>
      </w:r>
      <w:r>
        <w:t xml:space="preserve"> key message in DELWP</w:t>
      </w:r>
      <w:r w:rsidR="002621E9" w:rsidRPr="00A17A6E">
        <w:t>'</w:t>
      </w:r>
      <w:r>
        <w:t xml:space="preserve">s new guidance note </w:t>
      </w:r>
    </w:p>
    <w:p w:rsidR="000D4194" w:rsidRDefault="000D4194" w:rsidP="000D4194">
      <w:r>
        <w:t>A key message in DELWP</w:t>
      </w:r>
      <w:r w:rsidR="002621E9" w:rsidRPr="00A17A6E">
        <w:t>'</w:t>
      </w:r>
      <w:r>
        <w:t xml:space="preserve">s new </w:t>
      </w:r>
      <w:hyperlink r:id="rId25" w:history="1">
        <w:r w:rsidRPr="00920CF8">
          <w:rPr>
            <w:rStyle w:val="Hyperlink"/>
          </w:rPr>
          <w:t>guidance note</w:t>
        </w:r>
      </w:hyperlink>
      <w:r>
        <w:t xml:space="preserve"> on the role of the Independent Broad</w:t>
      </w:r>
      <w:r w:rsidR="00237070">
        <w:t>-</w:t>
      </w:r>
      <w:r>
        <w:t>based Anti</w:t>
      </w:r>
      <w:r w:rsidR="00237070">
        <w:t>-</w:t>
      </w:r>
      <w:r>
        <w:t xml:space="preserve">corruption Commission (IBAC) is that anyone wishing to make a </w:t>
      </w:r>
      <w:r w:rsidR="002621E9" w:rsidRPr="00A17A6E">
        <w:t>'</w:t>
      </w:r>
      <w:r>
        <w:t>protected disclosure</w:t>
      </w:r>
      <w:r w:rsidR="002621E9" w:rsidRPr="00A17A6E">
        <w:t>'</w:t>
      </w:r>
      <w:r>
        <w:t xml:space="preserve"> about alleged </w:t>
      </w:r>
      <w:r w:rsidR="00DF0F25">
        <w:t xml:space="preserve">corrupt or other </w:t>
      </w:r>
      <w:r w:rsidR="002621E9" w:rsidRPr="00A17A6E">
        <w:t>'</w:t>
      </w:r>
      <w:r>
        <w:t>improper</w:t>
      </w:r>
      <w:r w:rsidR="002621E9" w:rsidRPr="00A17A6E">
        <w:t>'</w:t>
      </w:r>
      <w:r w:rsidR="00DF0F25">
        <w:t xml:space="preserve"> conduct</w:t>
      </w:r>
      <w:r>
        <w:t xml:space="preserve"> by a board or staff member of a DELWP agency must </w:t>
      </w:r>
      <w:r w:rsidR="00B55484">
        <w:t>go</w:t>
      </w:r>
      <w:r>
        <w:t xml:space="preserve"> </w:t>
      </w:r>
      <w:r w:rsidRPr="00F84AE5">
        <w:rPr>
          <w:bCs/>
        </w:rPr>
        <w:t>straight to IBAC</w:t>
      </w:r>
      <w:r>
        <w:t xml:space="preserve">. </w:t>
      </w:r>
    </w:p>
    <w:p w:rsidR="000D4194" w:rsidRDefault="000D4194" w:rsidP="000D4194">
      <w:pPr>
        <w:pStyle w:val="ListBullet"/>
      </w:pPr>
      <w:r>
        <w:t xml:space="preserve">A DELWP agency </w:t>
      </w:r>
      <w:r w:rsidRPr="00206CE8">
        <w:rPr>
          <w:i/>
        </w:rPr>
        <w:t>cannot</w:t>
      </w:r>
      <w:r>
        <w:t xml:space="preserve"> receive a protected disclosure (except for the Environment Protection Agency).</w:t>
      </w:r>
    </w:p>
    <w:p w:rsidR="000D4194" w:rsidRDefault="000D4194" w:rsidP="000D4194">
      <w:pPr>
        <w:pStyle w:val="ListBullet"/>
      </w:pPr>
      <w:r>
        <w:t xml:space="preserve">A protected disclosure can only be made to IBAC, regardless of whether the complainant </w:t>
      </w:r>
      <w:r w:rsidR="00DA1056">
        <w:t>is a member of the public or a whistleblower</w:t>
      </w:r>
      <w:r>
        <w:t xml:space="preserve"> from within the agency. </w:t>
      </w:r>
    </w:p>
    <w:p w:rsidR="000D4194" w:rsidRDefault="000D4194" w:rsidP="000D4194">
      <w:r>
        <w:t xml:space="preserve">All DELWP agencies </w:t>
      </w:r>
      <w:r w:rsidR="00B55484">
        <w:t>must</w:t>
      </w:r>
      <w:r>
        <w:t xml:space="preserve"> have a suitable complaints handling process. However, if your agency is contacted by a person who wishes t</w:t>
      </w:r>
      <w:r w:rsidR="00AF6875">
        <w:t>o allege that corrupt or other improper</w:t>
      </w:r>
      <w:r>
        <w:t xml:space="preserve"> conduct is, has, or will occur</w:t>
      </w:r>
      <w:r w:rsidR="002C6D53">
        <w:t xml:space="preserve"> (a </w:t>
      </w:r>
      <w:r w:rsidR="001B64B9" w:rsidRPr="00A17A6E">
        <w:t>'</w:t>
      </w:r>
      <w:r w:rsidR="002C6D53">
        <w:t>whistleblower</w:t>
      </w:r>
      <w:r w:rsidR="001B64B9" w:rsidRPr="00A17A6E">
        <w:t>'</w:t>
      </w:r>
      <w:r w:rsidR="002C6D53">
        <w:t>)</w:t>
      </w:r>
      <w:r>
        <w:t xml:space="preserve">, they must immediately be redirected to IBAC.  </w:t>
      </w:r>
    </w:p>
    <w:p w:rsidR="000D4194" w:rsidRDefault="000D4194" w:rsidP="000D4194">
      <w:r w:rsidRPr="00CD63A5">
        <w:rPr>
          <w:b/>
          <w:color w:val="228591"/>
        </w:rPr>
        <w:t xml:space="preserve">Further </w:t>
      </w:r>
      <w:r w:rsidRPr="006A016D">
        <w:rPr>
          <w:b/>
          <w:color w:val="228591"/>
        </w:rPr>
        <w:t>information:</w:t>
      </w:r>
      <w:r>
        <w:rPr>
          <w:b/>
          <w:color w:val="228591"/>
        </w:rPr>
        <w:t xml:space="preserve"> </w:t>
      </w:r>
      <w:r>
        <w:t xml:space="preserve">see the new </w:t>
      </w:r>
      <w:hyperlink r:id="rId26" w:history="1">
        <w:r w:rsidRPr="00CA458A">
          <w:rPr>
            <w:rStyle w:val="Hyperlink"/>
          </w:rPr>
          <w:t>Integrity Complaints</w:t>
        </w:r>
      </w:hyperlink>
      <w:r>
        <w:t xml:space="preserve"> support module on On Board.</w:t>
      </w:r>
    </w:p>
    <w:p w:rsidR="000957DA" w:rsidRPr="00A17A6E" w:rsidRDefault="000957DA" w:rsidP="000957DA">
      <w:pPr>
        <w:pStyle w:val="Heading1"/>
      </w:pPr>
      <w:bookmarkStart w:id="8" w:name="_Privacy_and_data_1"/>
      <w:bookmarkEnd w:id="8"/>
      <w:r w:rsidRPr="00A17A6E">
        <w:rPr>
          <w:noProof/>
          <w:lang w:eastAsia="en-AU"/>
        </w:rPr>
        <w:drawing>
          <wp:inline distT="0" distB="0" distL="0" distR="0" wp14:anchorId="562E25C0" wp14:editId="436B1A78">
            <wp:extent cx="371856" cy="371856"/>
            <wp:effectExtent l="0" t="0" r="9525" b="9525"/>
            <wp:docPr id="31" name="Picture 31"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797" cy="371797"/>
                    </a:xfrm>
                    <a:prstGeom prst="rect">
                      <a:avLst/>
                    </a:prstGeom>
                    <a:noFill/>
                    <a:ln>
                      <a:noFill/>
                    </a:ln>
                  </pic:spPr>
                </pic:pic>
              </a:graphicData>
            </a:graphic>
          </wp:inline>
        </w:drawing>
      </w:r>
      <w:r>
        <w:tab/>
        <w:t xml:space="preserve">Privacy and data protection </w:t>
      </w:r>
      <w:r w:rsidR="00237070">
        <w:t>-</w:t>
      </w:r>
      <w:r>
        <w:t xml:space="preserve"> new guidance materials from DELWP</w:t>
      </w:r>
    </w:p>
    <w:p w:rsidR="000957DA" w:rsidRDefault="000957DA" w:rsidP="000957DA">
      <w:r>
        <w:t>In my last e</w:t>
      </w:r>
      <w:r w:rsidR="00237070">
        <w:t>-</w:t>
      </w:r>
      <w:r>
        <w:t xml:space="preserve">alert l </w:t>
      </w:r>
      <w:r w:rsidR="001A1AC3">
        <w:t>introduced</w:t>
      </w:r>
      <w:r>
        <w:t xml:space="preserve"> DELWP</w:t>
      </w:r>
      <w:r w:rsidR="002621E9" w:rsidRPr="00A17A6E">
        <w:t>'</w:t>
      </w:r>
      <w:r>
        <w:t xml:space="preserve">s </w:t>
      </w:r>
      <w:r w:rsidRPr="00423934">
        <w:rPr>
          <w:i/>
        </w:rPr>
        <w:t>Privacy Collection Statement Builder</w:t>
      </w:r>
      <w:r>
        <w:rPr>
          <w:i/>
        </w:rPr>
        <w:t xml:space="preserve">, </w:t>
      </w:r>
      <w:r w:rsidRPr="00303FD6">
        <w:t xml:space="preserve">which </w:t>
      </w:r>
      <w:r w:rsidR="001A1AC3">
        <w:t>can assist your agency</w:t>
      </w:r>
      <w:r>
        <w:t xml:space="preserve"> to develop a Privacy Collection Statement that complies with</w:t>
      </w:r>
      <w:r w:rsidRPr="00850240">
        <w:t xml:space="preserve"> the</w:t>
      </w:r>
      <w:r>
        <w:t xml:space="preserve"> </w:t>
      </w:r>
      <w:r w:rsidRPr="00A17A6E">
        <w:rPr>
          <w:i/>
        </w:rPr>
        <w:t>Privacy Protection and Data Act 2014</w:t>
      </w:r>
      <w:r>
        <w:rPr>
          <w:i/>
        </w:rPr>
        <w:t xml:space="preserve">.  </w:t>
      </w:r>
      <w:r>
        <w:t xml:space="preserve">DELWP now </w:t>
      </w:r>
      <w:r w:rsidR="001A1AC3">
        <w:t>also offers</w:t>
      </w:r>
      <w:r w:rsidR="00D269FB">
        <w:t xml:space="preserve"> </w:t>
      </w:r>
      <w:hyperlink r:id="rId27" w:history="1">
        <w:r w:rsidR="00D269FB">
          <w:rPr>
            <w:rStyle w:val="Hyperlink"/>
          </w:rPr>
          <w:t>guidance</w:t>
        </w:r>
      </w:hyperlink>
      <w:r w:rsidR="005C4540">
        <w:t xml:space="preserve"> </w:t>
      </w:r>
      <w:r>
        <w:t xml:space="preserve">which your agency can use to help staff </w:t>
      </w:r>
      <w:r w:rsidR="002621E9">
        <w:t xml:space="preserve">to </w:t>
      </w:r>
      <w:r>
        <w:t>understand the requirements of the new Act:</w:t>
      </w:r>
    </w:p>
    <w:p w:rsidR="000957DA" w:rsidRPr="00DF1122" w:rsidRDefault="000957DA" w:rsidP="000957DA">
      <w:pPr>
        <w:pStyle w:val="ListBullet"/>
      </w:pPr>
      <w:r w:rsidRPr="00DF1122">
        <w:t xml:space="preserve">Guide to privacy information </w:t>
      </w:r>
    </w:p>
    <w:p w:rsidR="000957DA" w:rsidRPr="00DF1122" w:rsidRDefault="000957DA" w:rsidP="000957DA">
      <w:pPr>
        <w:pStyle w:val="ListBullet"/>
      </w:pPr>
      <w:r w:rsidRPr="00DF1122">
        <w:t>Guide to privacy terms</w:t>
      </w:r>
    </w:p>
    <w:p w:rsidR="000957DA" w:rsidRPr="00DF1122" w:rsidRDefault="000957DA" w:rsidP="000957DA">
      <w:pPr>
        <w:pStyle w:val="ListBullet"/>
      </w:pPr>
      <w:r w:rsidRPr="00DF1122">
        <w:t>Guide to de</w:t>
      </w:r>
      <w:r w:rsidR="00237070">
        <w:t>-</w:t>
      </w:r>
      <w:r w:rsidRPr="00DF1122">
        <w:t>identifying information.</w:t>
      </w:r>
    </w:p>
    <w:p w:rsidR="000957DA" w:rsidRDefault="000957DA" w:rsidP="000957DA">
      <w:r w:rsidRPr="005D2992">
        <w:rPr>
          <w:b/>
          <w:color w:val="228591"/>
        </w:rPr>
        <w:t>Background:</w:t>
      </w:r>
      <w:r w:rsidRPr="005D2992">
        <w:rPr>
          <w:color w:val="4BACC6" w:themeColor="accent5"/>
        </w:rPr>
        <w:t xml:space="preserve"> </w:t>
      </w:r>
      <w:r>
        <w:t>t</w:t>
      </w:r>
      <w:r w:rsidRPr="00A17A6E">
        <w:t>he</w:t>
      </w:r>
      <w:r w:rsidR="00DF3760">
        <w:t xml:space="preserve"> new Act </w:t>
      </w:r>
      <w:r w:rsidRPr="00303FD6">
        <w:t>applies to all DELWP agencies.</w:t>
      </w:r>
      <w:r w:rsidR="00D269FB">
        <w:t xml:space="preserve"> It </w:t>
      </w:r>
      <w:r w:rsidR="00D269FB" w:rsidRPr="00A17A6E">
        <w:t xml:space="preserve">replaced the </w:t>
      </w:r>
      <w:r w:rsidR="00D269FB" w:rsidRPr="00A17A6E">
        <w:rPr>
          <w:i/>
        </w:rPr>
        <w:t>Information Privacy Act 2000</w:t>
      </w:r>
      <w:r w:rsidR="00D269FB">
        <w:rPr>
          <w:i/>
        </w:rPr>
        <w:t>.</w:t>
      </w:r>
      <w:r w:rsidR="00D269FB" w:rsidRPr="00303FD6">
        <w:t xml:space="preserve"> </w:t>
      </w:r>
      <w:r>
        <w:t xml:space="preserve">  </w:t>
      </w:r>
    </w:p>
    <w:p w:rsidR="000957DA" w:rsidRDefault="000957DA" w:rsidP="000957DA">
      <w:r w:rsidRPr="00CD63A5">
        <w:rPr>
          <w:b/>
          <w:color w:val="228591"/>
        </w:rPr>
        <w:t xml:space="preserve">Further </w:t>
      </w:r>
      <w:r w:rsidRPr="006A016D">
        <w:rPr>
          <w:b/>
          <w:color w:val="228591"/>
        </w:rPr>
        <w:t>information:</w:t>
      </w:r>
      <w:r>
        <w:rPr>
          <w:b/>
          <w:color w:val="228591"/>
        </w:rPr>
        <w:t xml:space="preserve"> </w:t>
      </w:r>
      <w:r w:rsidR="007A55AA">
        <w:t>see</w:t>
      </w:r>
      <w:r>
        <w:t xml:space="preserve"> the </w:t>
      </w:r>
      <w:hyperlink r:id="rId28" w:history="1">
        <w:r w:rsidRPr="00CC50C4">
          <w:rPr>
            <w:rStyle w:val="Hyperlink"/>
          </w:rPr>
          <w:t>Privacy support module</w:t>
        </w:r>
      </w:hyperlink>
      <w:r>
        <w:t xml:space="preserve"> on </w:t>
      </w:r>
      <w:proofErr w:type="spellStart"/>
      <w:r>
        <w:t>On</w:t>
      </w:r>
      <w:proofErr w:type="spellEnd"/>
      <w:r>
        <w:t xml:space="preserve"> Board.</w:t>
      </w:r>
    </w:p>
    <w:p w:rsidR="005D01E7" w:rsidRPr="00A17A6E" w:rsidRDefault="005D01E7" w:rsidP="005D01E7">
      <w:pPr>
        <w:pStyle w:val="Heading1"/>
      </w:pPr>
      <w:r w:rsidRPr="00A17A6E">
        <w:rPr>
          <w:noProof/>
          <w:lang w:eastAsia="en-AU"/>
        </w:rPr>
        <w:drawing>
          <wp:inline distT="0" distB="0" distL="0" distR="0" wp14:anchorId="7EE35571" wp14:editId="7251C6CF">
            <wp:extent cx="371856" cy="371856"/>
            <wp:effectExtent l="0" t="0" r="9525" b="9525"/>
            <wp:docPr id="27" name="Picture 27"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797" cy="371797"/>
                    </a:xfrm>
                    <a:prstGeom prst="rect">
                      <a:avLst/>
                    </a:prstGeom>
                    <a:noFill/>
                    <a:ln>
                      <a:noFill/>
                    </a:ln>
                  </pic:spPr>
                </pic:pic>
              </a:graphicData>
            </a:graphic>
          </wp:inline>
        </w:drawing>
      </w:r>
      <w:r>
        <w:tab/>
        <w:t>Model litigant guidelines</w:t>
      </w:r>
    </w:p>
    <w:p w:rsidR="005D01E7" w:rsidRDefault="005D01E7" w:rsidP="005D01E7">
      <w:r>
        <w:t xml:space="preserve">From time to time, DELWP is asked how its agencies should approach any civil claims made against them.  The answer is simple: the Victorian public sector is bound by the </w:t>
      </w:r>
      <w:hyperlink r:id="rId29" w:history="1">
        <w:r w:rsidRPr="008A05F5">
          <w:rPr>
            <w:rStyle w:val="Hyperlink"/>
          </w:rPr>
          <w:t>Revised Model Litigant Guidelines</w:t>
        </w:r>
      </w:hyperlink>
      <w:r w:rsidR="007956AD">
        <w:t xml:space="preserve">.  </w:t>
      </w:r>
      <w:r>
        <w:t>The guidelines, which are issued by the Attorney General, apply to all litigation, regardless of whether it involves a court, tribunal, inquiry, arbitration or alternative dispute resolution process.  Your agency should instruct its lawyers to follow the guidelines when acting on its behalf.</w:t>
      </w:r>
    </w:p>
    <w:p w:rsidR="005D01E7" w:rsidRDefault="005D01E7" w:rsidP="005D01E7">
      <w:r w:rsidRPr="00CD63A5">
        <w:rPr>
          <w:b/>
          <w:color w:val="228591"/>
        </w:rPr>
        <w:t>Further information:</w:t>
      </w:r>
      <w:r>
        <w:t xml:space="preserve"> see the Victorian Government Solicitor</w:t>
      </w:r>
      <w:r w:rsidR="001D3D70" w:rsidRPr="00A17A6E">
        <w:t>'</w:t>
      </w:r>
      <w:r>
        <w:t xml:space="preserve">s Office </w:t>
      </w:r>
      <w:hyperlink r:id="rId30" w:history="1">
        <w:r w:rsidRPr="00202013">
          <w:rPr>
            <w:rStyle w:val="Hyperlink"/>
          </w:rPr>
          <w:t>newsletter</w:t>
        </w:r>
      </w:hyperlink>
      <w:r>
        <w:t xml:space="preserve"> of March 2011.</w:t>
      </w:r>
    </w:p>
    <w:p w:rsidR="001C2D6C" w:rsidRPr="00CA5926" w:rsidRDefault="001C2D6C" w:rsidP="001C2D6C">
      <w:pPr>
        <w:pStyle w:val="Heading1"/>
      </w:pPr>
      <w:bookmarkStart w:id="9" w:name="_Model_litigant_guidelines"/>
      <w:bookmarkStart w:id="10" w:name="_Protected_Disclosures_to"/>
      <w:bookmarkStart w:id="11" w:name="_Model_litigant_guidelines_1"/>
      <w:bookmarkStart w:id="12" w:name="_Risk_Management_Framework"/>
      <w:bookmarkEnd w:id="9"/>
      <w:bookmarkEnd w:id="10"/>
      <w:bookmarkEnd w:id="11"/>
      <w:bookmarkEnd w:id="12"/>
      <w:r w:rsidRPr="00A17A6E">
        <w:rPr>
          <w:noProof/>
          <w:lang w:eastAsia="en-AU"/>
        </w:rPr>
        <w:drawing>
          <wp:inline distT="0" distB="0" distL="0" distR="0" wp14:anchorId="4644EFA8" wp14:editId="5DAACEA1">
            <wp:extent cx="371856" cy="371856"/>
            <wp:effectExtent l="0" t="0" r="9525" b="9525"/>
            <wp:docPr id="29" name="Picture 29"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797" cy="371797"/>
                    </a:xfrm>
                    <a:prstGeom prst="rect">
                      <a:avLst/>
                    </a:prstGeom>
                    <a:noFill/>
                    <a:ln>
                      <a:noFill/>
                    </a:ln>
                  </pic:spPr>
                </pic:pic>
              </a:graphicData>
            </a:graphic>
          </wp:inline>
        </w:drawing>
      </w:r>
      <w:r>
        <w:tab/>
      </w:r>
      <w:r w:rsidRPr="000D669F">
        <w:t>Risk Management Framework</w:t>
      </w:r>
      <w:r w:rsidRPr="00CA5926">
        <w:t xml:space="preserve"> </w:t>
      </w:r>
      <w:r w:rsidR="00237070">
        <w:t>-</w:t>
      </w:r>
      <w:r w:rsidRPr="00CA5926">
        <w:t xml:space="preserve"> new scope</w:t>
      </w:r>
      <w:r>
        <w:t xml:space="preserve"> and </w:t>
      </w:r>
      <w:r w:rsidRPr="00CA5926">
        <w:t xml:space="preserve">requirements </w:t>
      </w:r>
    </w:p>
    <w:p w:rsidR="001C2D6C" w:rsidRDefault="001C2D6C" w:rsidP="001C2D6C">
      <w:pPr>
        <w:spacing w:before="60" w:after="40" w:line="260" w:lineRule="atLeast"/>
      </w:pPr>
      <w:r w:rsidRPr="00CA5926">
        <w:t>The</w:t>
      </w:r>
      <w:r>
        <w:t xml:space="preserve"> scope of the</w:t>
      </w:r>
      <w:r w:rsidRPr="00CA5926">
        <w:t xml:space="preserve"> </w:t>
      </w:r>
      <w:r w:rsidRPr="00CA5926">
        <w:rPr>
          <w:i/>
        </w:rPr>
        <w:t>Victorian Government Risk Management Framework</w:t>
      </w:r>
      <w:r w:rsidRPr="00242FE7">
        <w:t xml:space="preserve"> </w:t>
      </w:r>
      <w:r>
        <w:t xml:space="preserve">has recently been expanded to cover more agencies. New requirements have also been introduced. </w:t>
      </w:r>
    </w:p>
    <w:p w:rsidR="001C2D6C" w:rsidRDefault="001C2D6C" w:rsidP="001C2D6C">
      <w:pPr>
        <w:pStyle w:val="ListBullet"/>
        <w:numPr>
          <w:ilvl w:val="0"/>
          <w:numId w:val="1"/>
        </w:numPr>
        <w:tabs>
          <w:tab w:val="clear" w:pos="360"/>
        </w:tabs>
        <w:spacing w:before="60" w:after="40" w:line="260" w:lineRule="atLeast"/>
      </w:pPr>
      <w:r>
        <w:rPr>
          <w:b/>
        </w:rPr>
        <w:t>expanded s</w:t>
      </w:r>
      <w:r w:rsidRPr="0089659C">
        <w:rPr>
          <w:b/>
        </w:rPr>
        <w:t>cope</w:t>
      </w:r>
      <w:r>
        <w:t>: any DELWP agency that</w:t>
      </w:r>
      <w:r>
        <w:rPr>
          <w:lang w:val="en"/>
        </w:rPr>
        <w:t xml:space="preserve"> is a </w:t>
      </w:r>
      <w:r w:rsidR="001D3D70" w:rsidRPr="00A17A6E">
        <w:t>'</w:t>
      </w:r>
      <w:r>
        <w:rPr>
          <w:lang w:val="en"/>
        </w:rPr>
        <w:t>public body</w:t>
      </w:r>
      <w:r w:rsidR="001D3D70" w:rsidRPr="00A17A6E">
        <w:t>'</w:t>
      </w:r>
      <w:r>
        <w:rPr>
          <w:lang w:val="en"/>
        </w:rPr>
        <w:t xml:space="preserve"> (prepares an annual report under the </w:t>
      </w:r>
      <w:r w:rsidRPr="00CA5926">
        <w:rPr>
          <w:i/>
          <w:lang w:val="en"/>
        </w:rPr>
        <w:t>Financial Management Act</w:t>
      </w:r>
      <w:r>
        <w:t xml:space="preserve">) is now legally bound to comply with the framework </w:t>
      </w:r>
    </w:p>
    <w:p w:rsidR="001C2D6C" w:rsidRDefault="001C2D6C" w:rsidP="001C2D6C">
      <w:pPr>
        <w:pStyle w:val="ListBullet"/>
        <w:numPr>
          <w:ilvl w:val="0"/>
          <w:numId w:val="1"/>
        </w:numPr>
        <w:tabs>
          <w:tab w:val="clear" w:pos="360"/>
        </w:tabs>
        <w:spacing w:before="60" w:after="40" w:line="260" w:lineRule="atLeast"/>
      </w:pPr>
      <w:r>
        <w:rPr>
          <w:b/>
        </w:rPr>
        <w:t>n</w:t>
      </w:r>
      <w:r w:rsidRPr="0089659C">
        <w:rPr>
          <w:b/>
        </w:rPr>
        <w:t>ew requirements:</w:t>
      </w:r>
      <w:r>
        <w:t xml:space="preserve"> there are two new risk management requirements, which relate to managing inter</w:t>
      </w:r>
      <w:r w:rsidR="00237070">
        <w:t>-</w:t>
      </w:r>
      <w:r>
        <w:t>agency and state significant risks.  All public bodies must comply with these requirements from 1 July this year and attest to their compliance in their 2015</w:t>
      </w:r>
      <w:r w:rsidR="00237070">
        <w:t>-</w:t>
      </w:r>
      <w:r>
        <w:t>16 annual report.</w:t>
      </w:r>
    </w:p>
    <w:p w:rsidR="001C2D6C" w:rsidRDefault="001C2D6C" w:rsidP="001C2D6C">
      <w:r>
        <w:t>It is also worth also noting that:</w:t>
      </w:r>
    </w:p>
    <w:p w:rsidR="001C2D6C" w:rsidRDefault="001C2D6C" w:rsidP="001C2D6C">
      <w:pPr>
        <w:pStyle w:val="ListBullet"/>
        <w:numPr>
          <w:ilvl w:val="0"/>
          <w:numId w:val="1"/>
        </w:numPr>
        <w:tabs>
          <w:tab w:val="clear" w:pos="360"/>
        </w:tabs>
        <w:spacing w:before="60" w:after="40" w:line="260" w:lineRule="atLeast"/>
      </w:pPr>
      <w:r>
        <w:t>of the other new mandatory requirements in the framework, most are requirements that already existed in Standing Direction 4.5.5 but which have been shifted into the framework itself</w:t>
      </w:r>
    </w:p>
    <w:p w:rsidR="001C2D6C" w:rsidRDefault="001C2D6C" w:rsidP="001C2D6C">
      <w:pPr>
        <w:pStyle w:val="ListBullet"/>
        <w:numPr>
          <w:ilvl w:val="0"/>
          <w:numId w:val="1"/>
        </w:numPr>
        <w:tabs>
          <w:tab w:val="clear" w:pos="360"/>
        </w:tabs>
        <w:spacing w:before="60" w:after="40" w:line="260" w:lineRule="atLeast"/>
      </w:pPr>
      <w:r>
        <w:t>there is now a simpler attestation clause, which covers the agency</w:t>
      </w:r>
      <w:r w:rsidR="001D3D70" w:rsidRPr="00A17A6E">
        <w:t>'</w:t>
      </w:r>
      <w:r>
        <w:t xml:space="preserve">s compliance with both risk management and insurance requirements.  The attestation must be made by the </w:t>
      </w:r>
      <w:r w:rsidR="001D3D70" w:rsidRPr="00A17A6E">
        <w:t>'</w:t>
      </w:r>
      <w:r>
        <w:t>responsible body</w:t>
      </w:r>
      <w:r w:rsidR="001D3D70" w:rsidRPr="00A17A6E">
        <w:t>'</w:t>
      </w:r>
      <w:r>
        <w:t xml:space="preserve"> (usually the board).</w:t>
      </w:r>
    </w:p>
    <w:p w:rsidR="001C2D6C" w:rsidRDefault="001C2D6C" w:rsidP="001C2D6C">
      <w:pPr>
        <w:rPr>
          <w:i/>
        </w:rPr>
      </w:pPr>
      <w:r w:rsidRPr="005D2992">
        <w:rPr>
          <w:b/>
          <w:color w:val="228591"/>
        </w:rPr>
        <w:t>Background:</w:t>
      </w:r>
      <w:r w:rsidRPr="005D2992">
        <w:rPr>
          <w:color w:val="4BACC6" w:themeColor="accent5"/>
        </w:rPr>
        <w:t xml:space="preserve"> </w:t>
      </w:r>
      <w:r>
        <w:t>T</w:t>
      </w:r>
      <w:r w:rsidRPr="00A655B3">
        <w:t>he framework</w:t>
      </w:r>
      <w:r>
        <w:t xml:space="preserve">, which is binding on all </w:t>
      </w:r>
      <w:r w:rsidR="005A27BC" w:rsidRPr="00A17A6E">
        <w:t>'</w:t>
      </w:r>
      <w:r>
        <w:t>public bodies</w:t>
      </w:r>
      <w:r w:rsidR="005A27BC" w:rsidRPr="00A17A6E">
        <w:t>'</w:t>
      </w:r>
      <w:r>
        <w:t xml:space="preserve"> as defined in section 3 of the Act,</w:t>
      </w:r>
      <w:r w:rsidRPr="00A655B3">
        <w:t xml:space="preserve"> is published by the Dep</w:t>
      </w:r>
      <w:r>
        <w:t>artment of Treasury and Finance.  It provides the</w:t>
      </w:r>
      <w:r w:rsidRPr="00A655B3">
        <w:t xml:space="preserve"> </w:t>
      </w:r>
      <w:r w:rsidR="005A27BC" w:rsidRPr="00A17A6E">
        <w:t>'</w:t>
      </w:r>
      <w:r w:rsidRPr="00A655B3">
        <w:t>minimum risk management standard for the Victorian public sector</w:t>
      </w:r>
      <w:r w:rsidR="005A27BC" w:rsidRPr="00A17A6E">
        <w:t>'</w:t>
      </w:r>
      <w:r>
        <w:t>.</w:t>
      </w:r>
    </w:p>
    <w:p w:rsidR="001C2D6C" w:rsidRDefault="001C2D6C" w:rsidP="001C2D6C">
      <w:pPr>
        <w:rPr>
          <w:rFonts w:asciiTheme="minorHAnsi" w:hAnsiTheme="minorHAnsi" w:cs="Helv"/>
          <w:color w:val="000000"/>
        </w:rPr>
      </w:pPr>
      <w:r w:rsidRPr="00CD63A5">
        <w:rPr>
          <w:b/>
          <w:color w:val="228591"/>
        </w:rPr>
        <w:t xml:space="preserve">Further information: </w:t>
      </w:r>
      <w:r>
        <w:t>s</w:t>
      </w:r>
      <w:r w:rsidRPr="002C23D7">
        <w:t>ee the</w:t>
      </w:r>
      <w:r>
        <w:rPr>
          <w:rFonts w:ascii="Helv" w:hAnsi="Helv" w:cs="Helv"/>
          <w:color w:val="000000"/>
        </w:rPr>
        <w:t xml:space="preserve"> </w:t>
      </w:r>
      <w:hyperlink r:id="rId31" w:history="1">
        <w:r w:rsidRPr="009C4CC9">
          <w:rPr>
            <w:rFonts w:asciiTheme="minorHAnsi" w:hAnsiTheme="minorHAnsi" w:cs="Helv"/>
            <w:color w:val="0000FF"/>
            <w:u w:val="single"/>
          </w:rPr>
          <w:t>Victorian Government Risk Management Framework</w:t>
        </w:r>
      </w:hyperlink>
      <w:r>
        <w:rPr>
          <w:rFonts w:asciiTheme="minorHAnsi" w:hAnsiTheme="minorHAnsi" w:cs="Helv"/>
          <w:color w:val="000000"/>
        </w:rPr>
        <w:t xml:space="preserve">.  Also see the </w:t>
      </w:r>
      <w:r w:rsidRPr="00B16097">
        <w:rPr>
          <w:rFonts w:asciiTheme="minorHAnsi" w:hAnsiTheme="minorHAnsi" w:cs="Helv"/>
          <w:i/>
        </w:rPr>
        <w:t xml:space="preserve">DELWP guide to annual reporting </w:t>
      </w:r>
      <w:r w:rsidR="00237070">
        <w:rPr>
          <w:rFonts w:asciiTheme="minorHAnsi" w:hAnsiTheme="minorHAnsi" w:cs="Helv"/>
          <w:i/>
        </w:rPr>
        <w:t>-</w:t>
      </w:r>
      <w:r w:rsidRPr="00B16097">
        <w:rPr>
          <w:rFonts w:asciiTheme="minorHAnsi" w:hAnsiTheme="minorHAnsi" w:cs="Helv"/>
          <w:i/>
        </w:rPr>
        <w:t xml:space="preserve"> public bodies</w:t>
      </w:r>
      <w:r>
        <w:rPr>
          <w:rFonts w:asciiTheme="minorHAnsi" w:hAnsiTheme="minorHAnsi" w:cs="Helv"/>
          <w:color w:val="000000"/>
        </w:rPr>
        <w:t xml:space="preserve"> in the </w:t>
      </w:r>
      <w:hyperlink r:id="rId32" w:history="1">
        <w:r w:rsidRPr="00C726F9">
          <w:rPr>
            <w:rStyle w:val="Hyperlink"/>
            <w:rFonts w:asciiTheme="minorHAnsi" w:hAnsiTheme="minorHAnsi" w:cs="Helv"/>
          </w:rPr>
          <w:t>Annual Reporting</w:t>
        </w:r>
      </w:hyperlink>
      <w:r>
        <w:rPr>
          <w:rFonts w:asciiTheme="minorHAnsi" w:hAnsiTheme="minorHAnsi" w:cs="Helv"/>
          <w:color w:val="000000"/>
        </w:rPr>
        <w:t xml:space="preserve"> support module on </w:t>
      </w:r>
      <w:proofErr w:type="spellStart"/>
      <w:r>
        <w:rPr>
          <w:rFonts w:asciiTheme="minorHAnsi" w:hAnsiTheme="minorHAnsi" w:cs="Helv"/>
          <w:color w:val="000000"/>
        </w:rPr>
        <w:t>On</w:t>
      </w:r>
      <w:proofErr w:type="spellEnd"/>
      <w:r>
        <w:rPr>
          <w:rFonts w:asciiTheme="minorHAnsi" w:hAnsiTheme="minorHAnsi" w:cs="Helv"/>
          <w:color w:val="000000"/>
        </w:rPr>
        <w:t xml:space="preserve"> Board.</w:t>
      </w:r>
    </w:p>
    <w:p w:rsidR="005D01E7" w:rsidRPr="00A17A6E" w:rsidRDefault="005D01E7" w:rsidP="005D01E7">
      <w:pPr>
        <w:pStyle w:val="Heading1"/>
      </w:pPr>
      <w:r w:rsidRPr="00A17A6E">
        <w:rPr>
          <w:noProof/>
          <w:lang w:eastAsia="en-AU"/>
        </w:rPr>
        <w:drawing>
          <wp:inline distT="0" distB="0" distL="0" distR="0" wp14:anchorId="7CC5E514" wp14:editId="4EF2345D">
            <wp:extent cx="371856" cy="371856"/>
            <wp:effectExtent l="0" t="0" r="9525" b="9525"/>
            <wp:docPr id="30" name="Picture 30"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797" cy="371797"/>
                    </a:xfrm>
                    <a:prstGeom prst="rect">
                      <a:avLst/>
                    </a:prstGeom>
                    <a:noFill/>
                    <a:ln>
                      <a:noFill/>
                    </a:ln>
                  </pic:spPr>
                </pic:pic>
              </a:graphicData>
            </a:graphic>
          </wp:inline>
        </w:drawing>
      </w:r>
      <w:r>
        <w:tab/>
      </w:r>
      <w:r w:rsidR="003356AD" w:rsidRPr="00126A50">
        <w:t xml:space="preserve">Performance and financial </w:t>
      </w:r>
      <w:r w:rsidRPr="00126A50">
        <w:t>audits</w:t>
      </w:r>
    </w:p>
    <w:p w:rsidR="005D01E7" w:rsidRDefault="005D01E7" w:rsidP="005D01E7">
      <w:r>
        <w:t xml:space="preserve">The </w:t>
      </w:r>
      <w:hyperlink r:id="rId33" w:history="1">
        <w:r>
          <w:rPr>
            <w:color w:val="0000FF"/>
            <w:u w:val="single"/>
          </w:rPr>
          <w:t>2015-2016 work plan</w:t>
        </w:r>
      </w:hyperlink>
      <w:r>
        <w:t xml:space="preserve"> for the Victorian Auditor-General</w:t>
      </w:r>
      <w:r w:rsidR="00154815" w:rsidRPr="00A17A6E">
        <w:t>'</w:t>
      </w:r>
      <w:r>
        <w:t xml:space="preserve">s Office (VAGO): </w:t>
      </w:r>
    </w:p>
    <w:p w:rsidR="005D01E7" w:rsidRDefault="005D01E7" w:rsidP="005D01E7">
      <w:pPr>
        <w:pStyle w:val="ListBullet"/>
      </w:pPr>
      <w:r>
        <w:t>includes</w:t>
      </w:r>
      <w:r w:rsidR="000E05ED">
        <w:t xml:space="preserve"> </w:t>
      </w:r>
      <w:hyperlink r:id="rId34" w:history="1">
        <w:r w:rsidRPr="00FB6A09">
          <w:rPr>
            <w:rStyle w:val="Hyperlink"/>
          </w:rPr>
          <w:t>audits</w:t>
        </w:r>
      </w:hyperlink>
      <w:r>
        <w:t xml:space="preserve"> </w:t>
      </w:r>
      <w:r w:rsidR="000E05ED">
        <w:t>in</w:t>
      </w:r>
      <w:r>
        <w:t xml:space="preserve"> 2016-17 </w:t>
      </w:r>
      <w:r w:rsidR="000E05ED">
        <w:t>in</w:t>
      </w:r>
      <w:r>
        <w:t xml:space="preserve"> the environment, water, local government and planning</w:t>
      </w:r>
      <w:r w:rsidR="000E05ED">
        <w:t xml:space="preserve"> areas</w:t>
      </w:r>
      <w:r>
        <w:t xml:space="preserve">, </w:t>
      </w:r>
      <w:r w:rsidR="000E05ED">
        <w:t>together with sector</w:t>
      </w:r>
      <w:r w:rsidR="00EB4A38">
        <w:t>-wide</w:t>
      </w:r>
      <w:r>
        <w:t xml:space="preserve"> governance audits, such as board performa</w:t>
      </w:r>
      <w:r w:rsidR="000E05ED">
        <w:t>nce and internal audit programs</w:t>
      </w:r>
      <w:r>
        <w:t xml:space="preserve">  </w:t>
      </w:r>
    </w:p>
    <w:p w:rsidR="005D01E7" w:rsidRDefault="005D01E7" w:rsidP="005D01E7">
      <w:pPr>
        <w:pStyle w:val="ListBullet"/>
      </w:pPr>
      <w:r>
        <w:t xml:space="preserve">lists </w:t>
      </w:r>
      <w:hyperlink r:id="rId35" w:history="1">
        <w:r w:rsidRPr="00FB6A09">
          <w:rPr>
            <w:rStyle w:val="Hyperlink"/>
          </w:rPr>
          <w:t>potential audit</w:t>
        </w:r>
      </w:hyperlink>
      <w:r w:rsidR="000E05ED">
        <w:t xml:space="preserve"> areas for 2017-18 and beyond - </w:t>
      </w:r>
      <w:r>
        <w:t xml:space="preserve">e.g. water security; implementation of the Victorian Coastal Strategy; managing onshore emergency environmental spill incidents; and </w:t>
      </w:r>
      <w:r w:rsidR="000E05ED">
        <w:t>sector</w:t>
      </w:r>
      <w:r w:rsidR="00EB4A38">
        <w:t>-wide</w:t>
      </w:r>
      <w:r w:rsidR="000E05ED">
        <w:t xml:space="preserve"> </w:t>
      </w:r>
      <w:r>
        <w:t>audits, such as executiv</w:t>
      </w:r>
      <w:r w:rsidR="000E05ED">
        <w:t>e remuneration</w:t>
      </w:r>
      <w:r>
        <w:t>.</w:t>
      </w:r>
    </w:p>
    <w:p w:rsidR="00BE265C" w:rsidRDefault="005D01E7" w:rsidP="005D01E7">
      <w:r>
        <w:t xml:space="preserve">It is recommended that DELWP agencies </w:t>
      </w:r>
      <w:hyperlink r:id="rId36" w:history="1">
        <w:r>
          <w:rPr>
            <w:color w:val="0000FF"/>
            <w:u w:val="single"/>
          </w:rPr>
          <w:t>subscribe</w:t>
        </w:r>
      </w:hyperlink>
      <w:r>
        <w:t xml:space="preserve"> to VAGO</w:t>
      </w:r>
      <w:r w:rsidR="00154815" w:rsidRPr="00A17A6E">
        <w:t>'</w:t>
      </w:r>
      <w:r>
        <w:t>s news service to ensure they are aware of upcoming audits and to receive news of audit findings, which are often applicable across the public sector.</w:t>
      </w:r>
      <w:r w:rsidR="00BE265C">
        <w:t xml:space="preserve">  </w:t>
      </w:r>
      <w:r w:rsidR="00BE265C" w:rsidRPr="00126A50">
        <w:t>VAGO</w:t>
      </w:r>
      <w:r w:rsidR="00154815" w:rsidRPr="00A17A6E">
        <w:t>'</w:t>
      </w:r>
      <w:r w:rsidR="00BE265C" w:rsidRPr="00126A50">
        <w:t xml:space="preserve">s website provides information about the </w:t>
      </w:r>
      <w:r w:rsidR="00B742BA">
        <w:t xml:space="preserve">audit </w:t>
      </w:r>
      <w:r w:rsidR="00BE265C" w:rsidRPr="00126A50">
        <w:t xml:space="preserve">process. The </w:t>
      </w:r>
      <w:hyperlink r:id="rId37" w:history="1">
        <w:r w:rsidR="00BE265C" w:rsidRPr="00126A50">
          <w:rPr>
            <w:rStyle w:val="Hyperlink"/>
          </w:rPr>
          <w:t>practice statements</w:t>
        </w:r>
      </w:hyperlink>
      <w:r w:rsidR="00BE265C" w:rsidRPr="00126A50">
        <w:t xml:space="preserve"> are particularly useful.  </w:t>
      </w:r>
    </w:p>
    <w:p w:rsidR="000C2C09" w:rsidRDefault="000C2C09" w:rsidP="005D01E7">
      <w:r w:rsidRPr="000C2C09">
        <w:t>If your agency receives commonwealth funding, it is possible that it may also become the subject of an audit by the Australian National Audit Office (</w:t>
      </w:r>
      <w:hyperlink r:id="rId38" w:history="1">
        <w:r w:rsidRPr="000C2C09">
          <w:rPr>
            <w:rStyle w:val="Hyperlink"/>
          </w:rPr>
          <w:t>ANAO</w:t>
        </w:r>
      </w:hyperlink>
      <w:r w:rsidRPr="000C2C09">
        <w:t xml:space="preserve">).  </w:t>
      </w:r>
    </w:p>
    <w:p w:rsidR="005D01E7" w:rsidRPr="00BE265C" w:rsidRDefault="005D01E7" w:rsidP="005D01E7">
      <w:r w:rsidRPr="0018730A">
        <w:rPr>
          <w:b/>
          <w:iCs/>
          <w:color w:val="228591"/>
        </w:rPr>
        <w:t>Background:</w:t>
      </w:r>
      <w:r w:rsidRPr="0018730A">
        <w:rPr>
          <w:color w:val="4BACC6" w:themeColor="accent5"/>
        </w:rPr>
        <w:t xml:space="preserve"> </w:t>
      </w:r>
      <w:r w:rsidR="00030975">
        <w:t>Victoria</w:t>
      </w:r>
      <w:r w:rsidR="00154815" w:rsidRPr="00A17A6E">
        <w:t>'</w:t>
      </w:r>
      <w:r w:rsidR="00030975">
        <w:t>s</w:t>
      </w:r>
      <w:r>
        <w:t xml:space="preserve"> </w:t>
      </w:r>
      <w:hyperlink r:id="rId39" w:history="1">
        <w:r w:rsidR="00030975">
          <w:rPr>
            <w:color w:val="0000FF"/>
            <w:u w:val="single"/>
          </w:rPr>
          <w:t>A</w:t>
        </w:r>
        <w:r>
          <w:rPr>
            <w:color w:val="0000FF"/>
            <w:u w:val="single"/>
          </w:rPr>
          <w:t>uditor-General</w:t>
        </w:r>
      </w:hyperlink>
      <w:r>
        <w:t xml:space="preserve"> is an independent officer of the Victorian Parliament who conducts financial and performance audits and reports to Parliament on the management of resources within the public sector.</w:t>
      </w:r>
      <w:r w:rsidR="000C2C09">
        <w:t xml:space="preserve"> </w:t>
      </w:r>
      <w:hyperlink r:id="rId40" w:history="1">
        <w:r w:rsidR="000C2C09" w:rsidRPr="000C2C09">
          <w:rPr>
            <w:rStyle w:val="Hyperlink"/>
          </w:rPr>
          <w:t>ANAO</w:t>
        </w:r>
      </w:hyperlink>
      <w:r w:rsidR="000C2C09" w:rsidRPr="000C2C09">
        <w:t xml:space="preserve"> performs a similar function in relation to commonwealth-funded agencies.</w:t>
      </w:r>
    </w:p>
    <w:p w:rsidR="00F469A8" w:rsidRPr="008747DA" w:rsidRDefault="00F469A8" w:rsidP="00F469A8">
      <w:pPr>
        <w:pStyle w:val="Heading1"/>
      </w:pPr>
      <w:bookmarkStart w:id="13" w:name="_Upcoming_VAGO_audits"/>
      <w:bookmarkStart w:id="14" w:name="_Privacy_and_data"/>
      <w:bookmarkStart w:id="15" w:name="_Code_of_conduct"/>
      <w:bookmarkStart w:id="16" w:name="_Governance_help_for"/>
      <w:bookmarkEnd w:id="13"/>
      <w:bookmarkEnd w:id="14"/>
      <w:bookmarkEnd w:id="15"/>
      <w:bookmarkEnd w:id="16"/>
      <w:r w:rsidRPr="00F469A8">
        <w:rPr>
          <w:noProof/>
          <w:lang w:eastAsia="en-AU"/>
        </w:rPr>
        <w:drawing>
          <wp:inline distT="0" distB="0" distL="0" distR="0" wp14:anchorId="3CCFB69E" wp14:editId="079D9548">
            <wp:extent cx="371856" cy="371856"/>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PI\HomeDirs1\DO20\Desktop\Docklands.jpg"/>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371478" cy="371478"/>
                    </a:xfrm>
                    <a:prstGeom prst="rect">
                      <a:avLst/>
                    </a:prstGeom>
                    <a:noFill/>
                    <a:ln>
                      <a:noFill/>
                    </a:ln>
                  </pic:spPr>
                </pic:pic>
              </a:graphicData>
            </a:graphic>
          </wp:inline>
        </w:drawing>
      </w:r>
      <w:r>
        <w:tab/>
        <w:t>G</w:t>
      </w:r>
      <w:r w:rsidRPr="008747DA">
        <w:t xml:space="preserve">overnance </w:t>
      </w:r>
      <w:r>
        <w:t>help</w:t>
      </w:r>
      <w:r w:rsidRPr="008747DA">
        <w:t xml:space="preserve"> for DELWP agencies</w:t>
      </w:r>
    </w:p>
    <w:p w:rsidR="00F469A8" w:rsidRDefault="00F469A8" w:rsidP="00F469A8">
      <w:r w:rsidRPr="008747DA">
        <w:t xml:space="preserve">A guidance note that lists the governance resources available from DELWP is located in the </w:t>
      </w:r>
      <w:hyperlink r:id="rId42" w:history="1">
        <w:r w:rsidRPr="008747DA">
          <w:rPr>
            <w:rStyle w:val="Hyperlink"/>
          </w:rPr>
          <w:t>induction and education</w:t>
        </w:r>
      </w:hyperlink>
      <w:r w:rsidRPr="008747DA">
        <w:t xml:space="preserve"> support module</w:t>
      </w:r>
      <w:r w:rsidR="00F36C90">
        <w:t xml:space="preserve"> on </w:t>
      </w:r>
      <w:r w:rsidR="007C2F65">
        <w:t>DELWP</w:t>
      </w:r>
      <w:r w:rsidR="00DE1732" w:rsidRPr="00A17A6E">
        <w:t>'</w:t>
      </w:r>
      <w:r w:rsidR="007C2F65">
        <w:t xml:space="preserve">s governance website, </w:t>
      </w:r>
      <w:r w:rsidR="00F36C90">
        <w:t>On Board</w:t>
      </w:r>
      <w:r w:rsidRPr="008747DA">
        <w:t xml:space="preserve">. </w:t>
      </w:r>
      <w:r w:rsidR="00FF4C94">
        <w:t xml:space="preserve">The </w:t>
      </w:r>
      <w:hyperlink r:id="rId43" w:history="1">
        <w:r w:rsidR="00FF4C94">
          <w:rPr>
            <w:rStyle w:val="Hyperlink"/>
          </w:rPr>
          <w:t>Governance guides and resources</w:t>
        </w:r>
      </w:hyperlink>
      <w:r w:rsidR="00FF4C94">
        <w:t xml:space="preserve"> </w:t>
      </w:r>
      <w:r w:rsidRPr="008747DA">
        <w:t>page</w:t>
      </w:r>
      <w:r w:rsidR="00FF4C94">
        <w:t xml:space="preserve"> has direct links to </w:t>
      </w:r>
      <w:r w:rsidR="00517967">
        <w:t xml:space="preserve">all of </w:t>
      </w:r>
      <w:r w:rsidR="00FF4C94">
        <w:t>these resources</w:t>
      </w:r>
      <w:r w:rsidRPr="008747DA">
        <w:t>.</w:t>
      </w:r>
      <w:r>
        <w:t xml:space="preserve"> </w:t>
      </w:r>
    </w:p>
    <w:p w:rsidR="00F469A8" w:rsidRDefault="00F469A8" w:rsidP="00F469A8">
      <w:r w:rsidRPr="008747DA">
        <w:t xml:space="preserve">DELWP </w:t>
      </w:r>
      <w:r>
        <w:t xml:space="preserve">agencies are </w:t>
      </w:r>
      <w:r w:rsidRPr="008747DA">
        <w:t>also support</w:t>
      </w:r>
      <w:r>
        <w:t>ed</w:t>
      </w:r>
      <w:r w:rsidRPr="008747DA">
        <w:t xml:space="preserve"> through </w:t>
      </w:r>
      <w:r>
        <w:t>our</w:t>
      </w:r>
      <w:r w:rsidRPr="008747DA">
        <w:t xml:space="preserve"> divisions and regional offices.  If you are a member of a DELWP agency and have a governance query, please contact your agency</w:t>
      </w:r>
      <w:r w:rsidR="00DE1732" w:rsidRPr="00A17A6E">
        <w:t>'</w:t>
      </w:r>
      <w:r w:rsidRPr="008747DA">
        <w:t>s usual</w:t>
      </w:r>
      <w:r w:rsidRPr="008747DA">
        <w:rPr>
          <w:b/>
          <w:bCs/>
        </w:rPr>
        <w:t xml:space="preserve"> </w:t>
      </w:r>
      <w:r w:rsidRPr="008747DA">
        <w:rPr>
          <w:bCs/>
        </w:rPr>
        <w:t>relationship manager or team</w:t>
      </w:r>
      <w:r w:rsidRPr="008747DA">
        <w:t xml:space="preserve">.  Alternatively, contact </w:t>
      </w:r>
      <w:r>
        <w:t xml:space="preserve">our </w:t>
      </w:r>
      <w:r w:rsidRPr="008747DA">
        <w:t>Customer Service Centre on 136 186.</w:t>
      </w:r>
    </w:p>
    <w:p w:rsidR="00F469A8" w:rsidRPr="00A17A6E" w:rsidRDefault="00F469A8" w:rsidP="00F469A8">
      <w:pPr>
        <w:pStyle w:val="Heading1"/>
      </w:pPr>
      <w:bookmarkStart w:id="17" w:name="_Toc413318611"/>
      <w:bookmarkStart w:id="18" w:name="_Toc413418281"/>
      <w:r w:rsidRPr="00A17A6E">
        <w:rPr>
          <w:noProof/>
          <w:lang w:eastAsia="en-AU"/>
        </w:rPr>
        <w:drawing>
          <wp:inline distT="0" distB="0" distL="0" distR="0" wp14:anchorId="4374A261" wp14:editId="6C86380E">
            <wp:extent cx="377952" cy="377952"/>
            <wp:effectExtent l="0" t="0" r="3175" b="3175"/>
            <wp:docPr id="34" name="Picture 34" descr="\\internal.vic.gov.au\DEPI\HomeDirs1\DO20\Desktop\Dock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PI\HomeDirs1\DO20\Desktop\Docklands.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7568" cy="377568"/>
                    </a:xfrm>
                    <a:prstGeom prst="rect">
                      <a:avLst/>
                    </a:prstGeom>
                    <a:noFill/>
                    <a:ln>
                      <a:noFill/>
                    </a:ln>
                  </pic:spPr>
                </pic:pic>
              </a:graphicData>
            </a:graphic>
          </wp:inline>
        </w:drawing>
      </w:r>
      <w:r>
        <w:tab/>
      </w:r>
      <w:r w:rsidRPr="00A17A6E">
        <w:t>Other interested readers?</w:t>
      </w:r>
      <w:bookmarkEnd w:id="17"/>
      <w:bookmarkEnd w:id="18"/>
    </w:p>
    <w:p w:rsidR="00F469A8" w:rsidRDefault="00F469A8" w:rsidP="00F469A8">
      <w:r w:rsidRPr="00A17A6E">
        <w:t>If you know someone who may be interested in receiving DELWP governance e</w:t>
      </w:r>
      <w:r w:rsidR="00237070">
        <w:t>-</w:t>
      </w:r>
      <w:r w:rsidRPr="00A17A6E">
        <w:t xml:space="preserve">alerts, please forward this email to them.  Interested readers can </w:t>
      </w:r>
      <w:hyperlink r:id="rId45" w:history="1">
        <w:r w:rsidRPr="00A17A6E">
          <w:rPr>
            <w:rStyle w:val="Hyperlink"/>
          </w:rPr>
          <w:t>subscribe to receive e</w:t>
        </w:r>
        <w:r w:rsidR="00237070">
          <w:rPr>
            <w:rStyle w:val="Hyperlink"/>
          </w:rPr>
          <w:t>-</w:t>
        </w:r>
        <w:r w:rsidRPr="00A17A6E">
          <w:rPr>
            <w:rStyle w:val="Hyperlink"/>
          </w:rPr>
          <w:t>alerts</w:t>
        </w:r>
      </w:hyperlink>
      <w:r w:rsidRPr="00A17A6E">
        <w:t>.  Board members, executives and staff of DELWP agencies and DELWP governance staff are particularly encouraged to subscribe.</w:t>
      </w:r>
    </w:p>
    <w:p w:rsidR="00F116F3" w:rsidRDefault="00F116F3" w:rsidP="00F82085"/>
    <w:p w:rsidR="00F82085" w:rsidRPr="00A17A6E" w:rsidRDefault="00F82085" w:rsidP="00F82085">
      <w:r w:rsidRPr="00A17A6E">
        <w:t>Regards,</w:t>
      </w:r>
    </w:p>
    <w:p w:rsidR="00F82085" w:rsidRPr="00A17A6E" w:rsidRDefault="00F82085" w:rsidP="00F82085">
      <w:r w:rsidRPr="00A17A6E">
        <w:t>Adam Fennessy</w:t>
      </w:r>
    </w:p>
    <w:p w:rsidR="00F82085" w:rsidRPr="00A17A6E" w:rsidRDefault="00F82085" w:rsidP="00F82085">
      <w:pPr>
        <w:autoSpaceDE w:val="0"/>
        <w:autoSpaceDN w:val="0"/>
        <w:adjustRightInd w:val="0"/>
        <w:spacing w:before="0" w:after="0"/>
        <w:rPr>
          <w:rFonts w:cs="Calibri"/>
          <w:color w:val="3F8080"/>
        </w:rPr>
      </w:pPr>
      <w:r w:rsidRPr="00A17A6E">
        <w:rPr>
          <w:rFonts w:cs="Calibri"/>
          <w:b/>
          <w:bCs/>
        </w:rPr>
        <w:t>Adam Fennessy | Secretary</w:t>
      </w:r>
      <w:r w:rsidRPr="00A17A6E">
        <w:rPr>
          <w:rFonts w:cs="Calibri"/>
          <w:b/>
          <w:bCs/>
        </w:rPr>
        <w:br/>
      </w:r>
      <w:r w:rsidRPr="00A17A6E">
        <w:rPr>
          <w:rFonts w:cs="Calibri"/>
          <w:color w:val="3F8080"/>
        </w:rPr>
        <w:t>Department of Environment, Land, Water &amp; Planning</w:t>
      </w:r>
    </w:p>
    <w:p w:rsidR="00F82085" w:rsidRPr="00A17A6E" w:rsidRDefault="00F82085" w:rsidP="00F82085">
      <w:pPr>
        <w:autoSpaceDE w:val="0"/>
        <w:autoSpaceDN w:val="0"/>
        <w:adjustRightInd w:val="0"/>
        <w:spacing w:before="0" w:after="0"/>
        <w:rPr>
          <w:rFonts w:cs="Calibri"/>
          <w:color w:val="000000"/>
        </w:rPr>
      </w:pPr>
      <w:r w:rsidRPr="00A17A6E">
        <w:rPr>
          <w:rFonts w:cs="Calibri"/>
          <w:color w:val="000000"/>
        </w:rPr>
        <w:t xml:space="preserve">8 Nicholson St, East Melbourne, Victoria 3002 </w:t>
      </w:r>
    </w:p>
    <w:p w:rsidR="00F82085" w:rsidRPr="00A17A6E" w:rsidRDefault="00F82085" w:rsidP="00F82085">
      <w:pPr>
        <w:autoSpaceDE w:val="0"/>
        <w:autoSpaceDN w:val="0"/>
        <w:adjustRightInd w:val="0"/>
        <w:spacing w:before="0" w:after="0"/>
        <w:rPr>
          <w:rFonts w:cs="Calibri"/>
          <w:color w:val="000000"/>
        </w:rPr>
      </w:pPr>
      <w:r w:rsidRPr="00A17A6E">
        <w:rPr>
          <w:rFonts w:cs="Calibri"/>
          <w:color w:val="000000"/>
        </w:rPr>
        <w:t>1 Taylor St, Epsom, Victoria 3551</w:t>
      </w:r>
      <w:r w:rsidRPr="00A17A6E">
        <w:rPr>
          <w:rFonts w:cs="Calibri"/>
          <w:color w:val="000000"/>
        </w:rPr>
        <w:br/>
      </w:r>
      <w:r w:rsidRPr="00A17A6E">
        <w:rPr>
          <w:rFonts w:cs="Calibri"/>
          <w:b/>
          <w:bCs/>
          <w:color w:val="000000"/>
        </w:rPr>
        <w:t>T</w:t>
      </w:r>
      <w:r w:rsidRPr="00A17A6E">
        <w:rPr>
          <w:rFonts w:cs="Calibri"/>
          <w:color w:val="000000"/>
        </w:rPr>
        <w:t xml:space="preserve">: 03 9637 8765 | </w:t>
      </w:r>
      <w:r w:rsidRPr="00A17A6E">
        <w:rPr>
          <w:rFonts w:cs="Calibri"/>
          <w:b/>
          <w:bCs/>
          <w:color w:val="000000"/>
        </w:rPr>
        <w:t>E</w:t>
      </w:r>
      <w:r w:rsidRPr="00A17A6E">
        <w:rPr>
          <w:rFonts w:cs="Calibri"/>
          <w:color w:val="000000"/>
        </w:rPr>
        <w:t>: adam.fennessy@delwp.vic.gov.au</w:t>
      </w:r>
    </w:p>
    <w:p w:rsidR="00F82085" w:rsidRPr="00A17A6E" w:rsidRDefault="00F82085" w:rsidP="00F82085">
      <w:pPr>
        <w:autoSpaceDE w:val="0"/>
        <w:autoSpaceDN w:val="0"/>
        <w:adjustRightInd w:val="0"/>
        <w:spacing w:after="0"/>
        <w:rPr>
          <w:rFonts w:cs="Calibri"/>
          <w:color w:val="000000"/>
        </w:rPr>
      </w:pPr>
      <w:r w:rsidRPr="00A17A6E">
        <w:rPr>
          <w:rFonts w:cs="Calibri"/>
          <w:color w:val="000000"/>
        </w:rPr>
        <w:t>www.delwp.vic.gov.au</w:t>
      </w:r>
    </w:p>
    <w:p w:rsidR="00F82085" w:rsidRDefault="00F82085" w:rsidP="00F82085">
      <w:pPr>
        <w:rPr>
          <w:rFonts w:cs="Calibri"/>
          <w:color w:val="000000"/>
          <w:sz w:val="22"/>
          <w:szCs w:val="22"/>
        </w:rPr>
      </w:pPr>
      <w:r w:rsidRPr="00A17A6E">
        <w:rPr>
          <w:rFonts w:cs="Calibri"/>
          <w:noProof/>
          <w:color w:val="000000"/>
          <w:sz w:val="22"/>
          <w:szCs w:val="22"/>
          <w:lang w:eastAsia="en-AU"/>
        </w:rPr>
        <w:drawing>
          <wp:inline distT="0" distB="0" distL="0" distR="0" wp14:anchorId="74216299" wp14:editId="3FD08EFA">
            <wp:extent cx="288925" cy="288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Pr="00A17A6E">
        <w:rPr>
          <w:rFonts w:cs="Calibri"/>
          <w:color w:val="000000"/>
          <w:sz w:val="22"/>
          <w:szCs w:val="22"/>
        </w:rPr>
        <w:t xml:space="preserve">  </w:t>
      </w:r>
      <w:r w:rsidRPr="00A17A6E">
        <w:rPr>
          <w:rFonts w:cs="Calibri"/>
          <w:noProof/>
          <w:color w:val="000000"/>
          <w:sz w:val="22"/>
          <w:szCs w:val="22"/>
          <w:lang w:eastAsia="en-AU"/>
        </w:rPr>
        <w:drawing>
          <wp:inline distT="0" distB="0" distL="0" distR="0" wp14:anchorId="3F09EF5A" wp14:editId="7B302410">
            <wp:extent cx="288925" cy="288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Pr="00A17A6E">
        <w:rPr>
          <w:rFonts w:cs="Calibri"/>
          <w:color w:val="000000"/>
          <w:sz w:val="22"/>
          <w:szCs w:val="22"/>
        </w:rPr>
        <w:t xml:space="preserve">  </w:t>
      </w:r>
      <w:r w:rsidRPr="00A17A6E">
        <w:rPr>
          <w:rFonts w:cs="Calibri"/>
          <w:noProof/>
          <w:color w:val="000000"/>
          <w:sz w:val="22"/>
          <w:szCs w:val="22"/>
          <w:lang w:eastAsia="en-AU"/>
        </w:rPr>
        <w:drawing>
          <wp:inline distT="0" distB="0" distL="0" distR="0" wp14:anchorId="00E467E3" wp14:editId="55721C7F">
            <wp:extent cx="288925" cy="288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Pr="00A17A6E">
        <w:rPr>
          <w:rFonts w:cs="Calibri"/>
          <w:color w:val="000000"/>
          <w:sz w:val="22"/>
          <w:szCs w:val="22"/>
        </w:rPr>
        <w:t xml:space="preserve">  </w:t>
      </w:r>
      <w:r w:rsidRPr="00A17A6E">
        <w:rPr>
          <w:rFonts w:cs="Calibri"/>
          <w:noProof/>
          <w:color w:val="000000"/>
          <w:sz w:val="22"/>
          <w:szCs w:val="22"/>
          <w:lang w:eastAsia="en-AU"/>
        </w:rPr>
        <w:drawing>
          <wp:inline distT="0" distB="0" distL="0" distR="0" wp14:anchorId="15BC1459" wp14:editId="6B6561F6">
            <wp:extent cx="288925" cy="288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Pr="00A17A6E">
        <w:rPr>
          <w:rFonts w:cs="Calibri"/>
          <w:color w:val="000000"/>
          <w:sz w:val="22"/>
          <w:szCs w:val="22"/>
        </w:rPr>
        <w:t xml:space="preserve">  </w:t>
      </w:r>
      <w:r w:rsidRPr="00A17A6E">
        <w:rPr>
          <w:rFonts w:cs="Calibri"/>
          <w:noProof/>
          <w:color w:val="000000"/>
          <w:sz w:val="22"/>
          <w:szCs w:val="22"/>
          <w:lang w:eastAsia="en-AU"/>
        </w:rPr>
        <w:drawing>
          <wp:inline distT="0" distB="0" distL="0" distR="0" wp14:anchorId="2B6C0D16" wp14:editId="6B3EBC10">
            <wp:extent cx="288925" cy="288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Pr="00A17A6E">
        <w:rPr>
          <w:rFonts w:cs="Calibri"/>
          <w:color w:val="000000"/>
          <w:sz w:val="22"/>
          <w:szCs w:val="22"/>
        </w:rPr>
        <w:t xml:space="preserve">    </w:t>
      </w:r>
    </w:p>
    <w:p w:rsidR="00C12305" w:rsidRPr="00A17A6E" w:rsidRDefault="00C12305" w:rsidP="00F82085">
      <w:pPr>
        <w:rPr>
          <w:rFonts w:cs="Calibri"/>
          <w:color w:val="000000"/>
          <w:sz w:val="22"/>
          <w:szCs w:val="22"/>
        </w:rPr>
      </w:pPr>
    </w:p>
    <w:p w:rsidR="00F82085" w:rsidRDefault="00A251DE" w:rsidP="00401779">
      <w:pPr>
        <w:pStyle w:val="Heading2"/>
        <w:tabs>
          <w:tab w:val="left" w:pos="567"/>
          <w:tab w:val="left" w:pos="6379"/>
        </w:tabs>
        <w:spacing w:before="160"/>
        <w:ind w:right="3855"/>
      </w:pPr>
      <w:r>
        <w:rPr>
          <w:noProof/>
          <w:lang w:eastAsia="en-AU"/>
        </w:rPr>
        <w:drawing>
          <wp:inline distT="0" distB="0" distL="0" distR="0" wp14:anchorId="60C19F0E" wp14:editId="7EFFD5D7">
            <wp:extent cx="274320" cy="252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 c - DISPUTES - PURLE IRIS - dse1316615donealready.jp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273238" cy="251880"/>
                    </a:xfrm>
                    <a:prstGeom prst="rect">
                      <a:avLst/>
                    </a:prstGeom>
                  </pic:spPr>
                </pic:pic>
              </a:graphicData>
            </a:graphic>
          </wp:inline>
        </w:drawing>
      </w:r>
      <w:r>
        <w:tab/>
      </w:r>
      <w:r w:rsidR="00F82085" w:rsidRPr="00AE5F92">
        <w:rPr>
          <w:sz w:val="21"/>
          <w:szCs w:val="21"/>
        </w:rPr>
        <w:t>Subscrib</w:t>
      </w:r>
      <w:r w:rsidR="00AE5F92">
        <w:rPr>
          <w:sz w:val="21"/>
          <w:szCs w:val="21"/>
        </w:rPr>
        <w:t>e to DELWP</w:t>
      </w:r>
      <w:r w:rsidR="00F82085" w:rsidRPr="00AE5F92">
        <w:rPr>
          <w:sz w:val="21"/>
          <w:szCs w:val="21"/>
        </w:rPr>
        <w:t xml:space="preserve"> governance</w:t>
      </w:r>
      <w:r w:rsidR="00237070">
        <w:rPr>
          <w:sz w:val="21"/>
          <w:szCs w:val="21"/>
        </w:rPr>
        <w:t>-</w:t>
      </w:r>
      <w:r w:rsidR="00F82085" w:rsidRPr="00AE5F92">
        <w:rPr>
          <w:sz w:val="21"/>
          <w:szCs w:val="21"/>
        </w:rPr>
        <w:t>alerts</w:t>
      </w:r>
    </w:p>
    <w:p w:rsidR="00F82085" w:rsidRPr="00F116F3" w:rsidRDefault="00D34D12" w:rsidP="00401779">
      <w:pPr>
        <w:tabs>
          <w:tab w:val="left" w:pos="6096"/>
          <w:tab w:val="left" w:pos="6379"/>
        </w:tabs>
        <w:spacing w:after="60" w:line="240" w:lineRule="atLeast"/>
        <w:ind w:right="3855"/>
        <w:rPr>
          <w:sz w:val="18"/>
          <w:szCs w:val="18"/>
        </w:rPr>
      </w:pPr>
      <w:hyperlink r:id="rId52" w:history="1">
        <w:r w:rsidR="00070129" w:rsidRPr="00F116F3">
          <w:rPr>
            <w:rStyle w:val="Hyperlink"/>
            <w:sz w:val="18"/>
            <w:szCs w:val="18"/>
          </w:rPr>
          <w:t>S</w:t>
        </w:r>
        <w:r w:rsidR="00F82085" w:rsidRPr="00F116F3">
          <w:rPr>
            <w:rStyle w:val="Hyperlink"/>
            <w:sz w:val="18"/>
            <w:szCs w:val="18"/>
          </w:rPr>
          <w:t>ubscribe</w:t>
        </w:r>
      </w:hyperlink>
      <w:r w:rsidR="00F82085" w:rsidRPr="00F116F3">
        <w:rPr>
          <w:sz w:val="18"/>
          <w:szCs w:val="18"/>
        </w:rPr>
        <w:t xml:space="preserve"> to DELWP governance e</w:t>
      </w:r>
      <w:r w:rsidR="00237070">
        <w:rPr>
          <w:sz w:val="18"/>
          <w:szCs w:val="18"/>
        </w:rPr>
        <w:t>-</w:t>
      </w:r>
      <w:r w:rsidR="00F82085" w:rsidRPr="00F116F3">
        <w:rPr>
          <w:sz w:val="18"/>
          <w:szCs w:val="18"/>
        </w:rPr>
        <w:t xml:space="preserve">alerts (approximately four </w:t>
      </w:r>
      <w:r w:rsidR="00A251DE" w:rsidRPr="00F116F3">
        <w:rPr>
          <w:sz w:val="18"/>
          <w:szCs w:val="18"/>
        </w:rPr>
        <w:t>per year</w:t>
      </w:r>
      <w:r w:rsidR="00F82085" w:rsidRPr="00F116F3">
        <w:rPr>
          <w:sz w:val="18"/>
          <w:szCs w:val="18"/>
        </w:rPr>
        <w:t>).</w:t>
      </w:r>
    </w:p>
    <w:p w:rsidR="00F82085" w:rsidRPr="00F116F3" w:rsidRDefault="00F82085" w:rsidP="00401779">
      <w:pPr>
        <w:tabs>
          <w:tab w:val="left" w:pos="6096"/>
          <w:tab w:val="left" w:pos="6379"/>
        </w:tabs>
        <w:spacing w:before="0"/>
        <w:ind w:right="3855"/>
        <w:rPr>
          <w:sz w:val="16"/>
          <w:szCs w:val="16"/>
        </w:rPr>
      </w:pPr>
      <w:r w:rsidRPr="00F116F3">
        <w:rPr>
          <w:b/>
          <w:sz w:val="16"/>
          <w:szCs w:val="16"/>
        </w:rPr>
        <w:t>Previous e</w:t>
      </w:r>
      <w:r w:rsidR="00237070">
        <w:rPr>
          <w:b/>
          <w:sz w:val="16"/>
          <w:szCs w:val="16"/>
        </w:rPr>
        <w:t>-</w:t>
      </w:r>
      <w:r w:rsidRPr="00F116F3">
        <w:rPr>
          <w:b/>
          <w:sz w:val="16"/>
          <w:szCs w:val="16"/>
        </w:rPr>
        <w:t>alerts:</w:t>
      </w:r>
      <w:r w:rsidRPr="00F116F3">
        <w:rPr>
          <w:sz w:val="16"/>
          <w:szCs w:val="16"/>
        </w:rPr>
        <w:t xml:space="preserve"> </w:t>
      </w:r>
      <w:r w:rsidR="006648F6" w:rsidRPr="00F116F3">
        <w:rPr>
          <w:sz w:val="16"/>
          <w:szCs w:val="16"/>
        </w:rPr>
        <w:t xml:space="preserve">see </w:t>
      </w:r>
      <w:r w:rsidRPr="00F116F3">
        <w:rPr>
          <w:sz w:val="16"/>
          <w:szCs w:val="16"/>
        </w:rPr>
        <w:t xml:space="preserve">the </w:t>
      </w:r>
      <w:hyperlink r:id="rId53" w:history="1">
        <w:r w:rsidR="00070129" w:rsidRPr="00F116F3">
          <w:rPr>
            <w:rStyle w:val="Hyperlink"/>
            <w:sz w:val="16"/>
            <w:szCs w:val="16"/>
          </w:rPr>
          <w:t>e</w:t>
        </w:r>
        <w:r w:rsidR="00237070">
          <w:rPr>
            <w:rStyle w:val="Hyperlink"/>
            <w:sz w:val="16"/>
            <w:szCs w:val="16"/>
          </w:rPr>
          <w:t>-</w:t>
        </w:r>
        <w:r w:rsidRPr="00F116F3">
          <w:rPr>
            <w:rStyle w:val="Hyperlink"/>
            <w:sz w:val="16"/>
            <w:szCs w:val="16"/>
          </w:rPr>
          <w:t>alert support module</w:t>
        </w:r>
      </w:hyperlink>
      <w:r w:rsidRPr="00F116F3">
        <w:rPr>
          <w:sz w:val="16"/>
          <w:szCs w:val="16"/>
        </w:rPr>
        <w:t xml:space="preserve"> on</w:t>
      </w:r>
      <w:r w:rsidR="00C763BD">
        <w:rPr>
          <w:sz w:val="16"/>
          <w:szCs w:val="16"/>
        </w:rPr>
        <w:t xml:space="preserve"> DELWP</w:t>
      </w:r>
      <w:r w:rsidR="00DE1732" w:rsidRPr="00A17A6E">
        <w:t>'</w:t>
      </w:r>
      <w:r w:rsidR="00C763BD">
        <w:rPr>
          <w:sz w:val="16"/>
          <w:szCs w:val="16"/>
        </w:rPr>
        <w:t xml:space="preserve">s governance website, On </w:t>
      </w:r>
      <w:r w:rsidRPr="00F116F3">
        <w:rPr>
          <w:sz w:val="16"/>
          <w:szCs w:val="16"/>
        </w:rPr>
        <w:t>Board.</w:t>
      </w:r>
    </w:p>
    <w:p w:rsidR="00F82085" w:rsidRPr="00A17A6E" w:rsidRDefault="00F82085" w:rsidP="00401779">
      <w:pPr>
        <w:tabs>
          <w:tab w:val="left" w:pos="6096"/>
          <w:tab w:val="left" w:pos="6379"/>
        </w:tabs>
        <w:spacing w:before="0" w:after="200" w:line="240" w:lineRule="auto"/>
        <w:ind w:right="3855"/>
        <w:rPr>
          <w:sz w:val="16"/>
          <w:szCs w:val="16"/>
        </w:rPr>
      </w:pPr>
      <w:r w:rsidRPr="00A17A6E">
        <w:rPr>
          <w:b/>
          <w:sz w:val="16"/>
          <w:szCs w:val="16"/>
        </w:rPr>
        <w:t>Disclaimer</w:t>
      </w:r>
      <w:r w:rsidRPr="00A17A6E">
        <w:rPr>
          <w:sz w:val="16"/>
          <w:szCs w:val="16"/>
        </w:rPr>
        <w:t>: e</w:t>
      </w:r>
      <w:r w:rsidR="00237070">
        <w:rPr>
          <w:sz w:val="16"/>
          <w:szCs w:val="16"/>
        </w:rPr>
        <w:t>-</w:t>
      </w:r>
      <w:r w:rsidRPr="00A17A6E">
        <w:rPr>
          <w:sz w:val="16"/>
          <w:szCs w:val="16"/>
        </w:rPr>
        <w:t xml:space="preserve">alerts and attachments may be of assistance to you but the State of Victoria and its employees do not guarantee </w:t>
      </w:r>
      <w:r w:rsidR="009F3FB4">
        <w:rPr>
          <w:sz w:val="16"/>
          <w:szCs w:val="16"/>
        </w:rPr>
        <w:t>the</w:t>
      </w:r>
      <w:r w:rsidRPr="00A17A6E">
        <w:rPr>
          <w:sz w:val="16"/>
          <w:szCs w:val="16"/>
        </w:rPr>
        <w:t xml:space="preserve"> information is without flaw of any kind or appropriate for your particular </w:t>
      </w:r>
      <w:r w:rsidR="00794808">
        <w:rPr>
          <w:sz w:val="16"/>
          <w:szCs w:val="16"/>
        </w:rPr>
        <w:t>purposes and therefore disclaim</w:t>
      </w:r>
      <w:r w:rsidRPr="00A17A6E">
        <w:rPr>
          <w:sz w:val="16"/>
          <w:szCs w:val="16"/>
        </w:rPr>
        <w:t xml:space="preserve"> all liability for any error, loss or other consequence which may arise from you relying on it.</w:t>
      </w:r>
    </w:p>
    <w:p w:rsidR="00F82085" w:rsidRPr="00A17A6E" w:rsidRDefault="00AE5F92" w:rsidP="00401779">
      <w:pPr>
        <w:pStyle w:val="Heading2"/>
        <w:tabs>
          <w:tab w:val="left" w:pos="567"/>
          <w:tab w:val="left" w:pos="6379"/>
        </w:tabs>
        <w:ind w:right="3855"/>
        <w:rPr>
          <w:color w:val="2F2F2F"/>
        </w:rPr>
      </w:pPr>
      <w:r>
        <w:rPr>
          <w:noProof/>
          <w:lang w:eastAsia="en-AU"/>
        </w:rPr>
        <w:drawing>
          <wp:inline distT="0" distB="0" distL="0" distR="0" wp14:anchorId="2BC07D3C" wp14:editId="12912E35">
            <wp:extent cx="274320" cy="25287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 c - DISPUTES - PURLE IRIS - dse1316615donealready.jp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273238" cy="251880"/>
                    </a:xfrm>
                    <a:prstGeom prst="rect">
                      <a:avLst/>
                    </a:prstGeom>
                  </pic:spPr>
                </pic:pic>
              </a:graphicData>
            </a:graphic>
          </wp:inline>
        </w:drawing>
      </w:r>
      <w:r w:rsidR="00A251DE">
        <w:tab/>
      </w:r>
      <w:r w:rsidR="00F82085" w:rsidRPr="00AE5F92">
        <w:rPr>
          <w:sz w:val="21"/>
          <w:szCs w:val="21"/>
        </w:rPr>
        <w:t>Other subscriptions you may like</w:t>
      </w:r>
      <w:r w:rsidR="00F82085" w:rsidRPr="00A17A6E">
        <w:rPr>
          <w:color w:val="2F2F2F"/>
        </w:rPr>
        <w:t xml:space="preserve"> </w:t>
      </w:r>
    </w:p>
    <w:p w:rsidR="00F82085" w:rsidRPr="00F116F3" w:rsidRDefault="00070129" w:rsidP="00401779">
      <w:pPr>
        <w:tabs>
          <w:tab w:val="left" w:pos="6379"/>
        </w:tabs>
        <w:spacing w:before="40" w:after="40"/>
        <w:ind w:right="3855"/>
        <w:rPr>
          <w:sz w:val="18"/>
          <w:szCs w:val="18"/>
        </w:rPr>
      </w:pPr>
      <w:r w:rsidRPr="00F116F3">
        <w:rPr>
          <w:sz w:val="18"/>
          <w:szCs w:val="18"/>
        </w:rPr>
        <w:t>Y</w:t>
      </w:r>
      <w:r w:rsidR="00F82085" w:rsidRPr="00F116F3">
        <w:rPr>
          <w:sz w:val="18"/>
          <w:szCs w:val="18"/>
        </w:rPr>
        <w:t xml:space="preserve">ou may be interested in subscribing to: </w:t>
      </w:r>
    </w:p>
    <w:p w:rsidR="00F82085" w:rsidRPr="00F116F3" w:rsidRDefault="00F82085" w:rsidP="00401779">
      <w:pPr>
        <w:pStyle w:val="ListBullet"/>
        <w:tabs>
          <w:tab w:val="left" w:pos="6379"/>
        </w:tabs>
        <w:spacing w:before="40" w:after="40" w:line="240" w:lineRule="atLeast"/>
        <w:ind w:right="3855"/>
        <w:rPr>
          <w:sz w:val="18"/>
          <w:szCs w:val="18"/>
        </w:rPr>
      </w:pPr>
      <w:r w:rsidRPr="00F116F3">
        <w:rPr>
          <w:sz w:val="18"/>
          <w:szCs w:val="18"/>
        </w:rPr>
        <w:t>Victorian Public Sector Commission</w:t>
      </w:r>
      <w:r w:rsidR="00DE1732" w:rsidRPr="00A17A6E">
        <w:t>'</w:t>
      </w:r>
      <w:r w:rsidRPr="00F116F3">
        <w:rPr>
          <w:sz w:val="18"/>
          <w:szCs w:val="18"/>
        </w:rPr>
        <w:t xml:space="preserve">s </w:t>
      </w:r>
      <w:hyperlink r:id="rId54" w:history="1">
        <w:r w:rsidRPr="00F116F3">
          <w:rPr>
            <w:color w:val="0000FF"/>
            <w:sz w:val="18"/>
            <w:szCs w:val="18"/>
            <w:u w:val="single"/>
          </w:rPr>
          <w:t>e</w:t>
        </w:r>
        <w:r w:rsidR="00237070">
          <w:rPr>
            <w:color w:val="0000FF"/>
            <w:sz w:val="18"/>
            <w:szCs w:val="18"/>
            <w:u w:val="single"/>
          </w:rPr>
          <w:t>-</w:t>
        </w:r>
        <w:r w:rsidRPr="00F116F3">
          <w:rPr>
            <w:color w:val="0000FF"/>
            <w:sz w:val="18"/>
            <w:szCs w:val="18"/>
            <w:u w:val="single"/>
          </w:rPr>
          <w:t>news</w:t>
        </w:r>
      </w:hyperlink>
      <w:r w:rsidRPr="00F116F3">
        <w:rPr>
          <w:sz w:val="18"/>
          <w:szCs w:val="18"/>
        </w:rPr>
        <w:t xml:space="preserve"> and </w:t>
      </w:r>
      <w:hyperlink r:id="rId55" w:history="1">
        <w:r w:rsidRPr="00F116F3">
          <w:rPr>
            <w:rStyle w:val="Hyperlink"/>
            <w:sz w:val="18"/>
            <w:szCs w:val="18"/>
          </w:rPr>
          <w:t>governance insights</w:t>
        </w:r>
      </w:hyperlink>
      <w:r w:rsidRPr="00F116F3">
        <w:rPr>
          <w:sz w:val="18"/>
          <w:szCs w:val="18"/>
        </w:rPr>
        <w:t xml:space="preserve"> </w:t>
      </w:r>
    </w:p>
    <w:p w:rsidR="00F82085" w:rsidRPr="00F116F3" w:rsidRDefault="00F82085" w:rsidP="00401779">
      <w:pPr>
        <w:pStyle w:val="ListBullet"/>
        <w:tabs>
          <w:tab w:val="left" w:pos="6379"/>
        </w:tabs>
        <w:spacing w:before="40" w:after="40" w:line="240" w:lineRule="atLeast"/>
        <w:ind w:right="3855"/>
        <w:rPr>
          <w:sz w:val="18"/>
          <w:szCs w:val="18"/>
        </w:rPr>
      </w:pPr>
      <w:r w:rsidRPr="00F116F3">
        <w:rPr>
          <w:sz w:val="18"/>
          <w:szCs w:val="18"/>
        </w:rPr>
        <w:t>Victorian Ombudsman</w:t>
      </w:r>
      <w:r w:rsidR="00DE1732" w:rsidRPr="00A17A6E">
        <w:t>'</w:t>
      </w:r>
      <w:r w:rsidRPr="00F116F3">
        <w:rPr>
          <w:sz w:val="18"/>
          <w:szCs w:val="18"/>
        </w:rPr>
        <w:t xml:space="preserve">s </w:t>
      </w:r>
      <w:hyperlink r:id="rId56" w:history="1">
        <w:r w:rsidRPr="00F116F3">
          <w:rPr>
            <w:color w:val="0000FF"/>
            <w:sz w:val="18"/>
            <w:szCs w:val="18"/>
            <w:u w:val="single"/>
          </w:rPr>
          <w:t>media alerts</w:t>
        </w:r>
      </w:hyperlink>
      <w:r w:rsidRPr="00F116F3">
        <w:rPr>
          <w:sz w:val="18"/>
          <w:szCs w:val="18"/>
        </w:rPr>
        <w:t xml:space="preserve"> </w:t>
      </w:r>
    </w:p>
    <w:p w:rsidR="00F82085" w:rsidRPr="00F116F3" w:rsidRDefault="00F82085" w:rsidP="00401779">
      <w:pPr>
        <w:pStyle w:val="ListBullet"/>
        <w:tabs>
          <w:tab w:val="left" w:pos="6379"/>
        </w:tabs>
        <w:spacing w:before="40" w:after="40" w:line="240" w:lineRule="atLeast"/>
        <w:ind w:right="3855"/>
        <w:rPr>
          <w:sz w:val="18"/>
          <w:szCs w:val="18"/>
        </w:rPr>
      </w:pPr>
      <w:r w:rsidRPr="00F116F3">
        <w:rPr>
          <w:sz w:val="18"/>
          <w:szCs w:val="18"/>
        </w:rPr>
        <w:t>Victorian Auditor</w:t>
      </w:r>
      <w:r w:rsidR="00237070">
        <w:rPr>
          <w:sz w:val="18"/>
          <w:szCs w:val="18"/>
        </w:rPr>
        <w:t>-</w:t>
      </w:r>
      <w:r w:rsidRPr="00F116F3">
        <w:rPr>
          <w:sz w:val="18"/>
          <w:szCs w:val="18"/>
        </w:rPr>
        <w:t xml:space="preserve">General's Office </w:t>
      </w:r>
      <w:hyperlink r:id="rId57" w:history="1">
        <w:r w:rsidRPr="00F116F3">
          <w:rPr>
            <w:color w:val="0000FF"/>
            <w:sz w:val="18"/>
            <w:szCs w:val="18"/>
            <w:u w:val="single"/>
          </w:rPr>
          <w:t>news service</w:t>
        </w:r>
      </w:hyperlink>
    </w:p>
    <w:p w:rsidR="00F116F3" w:rsidRPr="00F116F3" w:rsidRDefault="00F82085" w:rsidP="00401779">
      <w:pPr>
        <w:pStyle w:val="ListBullet"/>
        <w:tabs>
          <w:tab w:val="left" w:pos="6379"/>
        </w:tabs>
        <w:spacing w:before="40" w:after="40" w:line="240" w:lineRule="atLeast"/>
        <w:ind w:right="3855"/>
        <w:rPr>
          <w:rStyle w:val="Hyperlink"/>
          <w:color w:val="2F2F2F"/>
          <w:sz w:val="18"/>
          <w:szCs w:val="18"/>
          <w:u w:val="none"/>
        </w:rPr>
      </w:pPr>
      <w:r w:rsidRPr="00F116F3">
        <w:rPr>
          <w:sz w:val="18"/>
          <w:szCs w:val="18"/>
        </w:rPr>
        <w:t>Independent Broad</w:t>
      </w:r>
      <w:r w:rsidR="00237070">
        <w:rPr>
          <w:sz w:val="18"/>
          <w:szCs w:val="18"/>
        </w:rPr>
        <w:t>-</w:t>
      </w:r>
      <w:r w:rsidRPr="00F116F3">
        <w:rPr>
          <w:sz w:val="18"/>
          <w:szCs w:val="18"/>
        </w:rPr>
        <w:t>based Anti</w:t>
      </w:r>
      <w:r w:rsidR="00237070">
        <w:rPr>
          <w:sz w:val="18"/>
          <w:szCs w:val="18"/>
        </w:rPr>
        <w:t>-</w:t>
      </w:r>
      <w:r w:rsidRPr="00F116F3">
        <w:rPr>
          <w:sz w:val="18"/>
          <w:szCs w:val="18"/>
        </w:rPr>
        <w:t>corruption Commission</w:t>
      </w:r>
      <w:r w:rsidR="008E234F" w:rsidRPr="00A17A6E">
        <w:t>'</w:t>
      </w:r>
      <w:r w:rsidRPr="00F116F3">
        <w:rPr>
          <w:sz w:val="18"/>
          <w:szCs w:val="18"/>
        </w:rPr>
        <w:t xml:space="preserve">s </w:t>
      </w:r>
      <w:hyperlink r:id="rId58" w:history="1">
        <w:r w:rsidRPr="00F116F3">
          <w:rPr>
            <w:rStyle w:val="Hyperlink"/>
            <w:sz w:val="18"/>
            <w:szCs w:val="18"/>
          </w:rPr>
          <w:t>Insights e</w:t>
        </w:r>
        <w:r w:rsidR="00237070">
          <w:rPr>
            <w:rStyle w:val="Hyperlink"/>
            <w:sz w:val="18"/>
            <w:szCs w:val="18"/>
          </w:rPr>
          <w:t>-</w:t>
        </w:r>
        <w:r w:rsidRPr="00F116F3">
          <w:rPr>
            <w:rStyle w:val="Hyperlink"/>
            <w:sz w:val="18"/>
            <w:szCs w:val="18"/>
          </w:rPr>
          <w:t>news</w:t>
        </w:r>
      </w:hyperlink>
    </w:p>
    <w:p w:rsidR="00F82085" w:rsidRPr="00F116F3" w:rsidRDefault="00F82085" w:rsidP="00401779">
      <w:pPr>
        <w:pStyle w:val="ListBullet"/>
        <w:tabs>
          <w:tab w:val="left" w:pos="6379"/>
        </w:tabs>
        <w:spacing w:before="40" w:after="40" w:line="240" w:lineRule="atLeast"/>
        <w:ind w:right="3855"/>
        <w:rPr>
          <w:sz w:val="18"/>
          <w:szCs w:val="18"/>
        </w:rPr>
      </w:pPr>
      <w:r w:rsidRPr="00F116F3">
        <w:rPr>
          <w:sz w:val="18"/>
          <w:szCs w:val="18"/>
        </w:rPr>
        <w:t xml:space="preserve">Department of Treasury and Finance </w:t>
      </w:r>
      <w:hyperlink r:id="rId59" w:history="1">
        <w:r w:rsidRPr="00F116F3">
          <w:rPr>
            <w:rStyle w:val="Hyperlink"/>
            <w:sz w:val="18"/>
            <w:szCs w:val="18"/>
          </w:rPr>
          <w:t>Accounting policy update</w:t>
        </w:r>
      </w:hyperlink>
      <w:r w:rsidRPr="00F116F3">
        <w:rPr>
          <w:sz w:val="18"/>
          <w:szCs w:val="18"/>
        </w:rPr>
        <w:t xml:space="preserve"> newsletters.</w:t>
      </w:r>
    </w:p>
    <w:p w:rsidR="00C30375" w:rsidRDefault="00C30375"/>
    <w:sectPr w:rsidR="00C30375" w:rsidSect="00681FAB">
      <w:pgSz w:w="11906" w:h="16838" w:code="9"/>
      <w:pgMar w:top="1134" w:right="90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5D" w:rsidRDefault="0029625D" w:rsidP="006E50EA">
      <w:pPr>
        <w:spacing w:before="0" w:after="0" w:line="240" w:lineRule="auto"/>
      </w:pPr>
      <w:r>
        <w:separator/>
      </w:r>
    </w:p>
  </w:endnote>
  <w:endnote w:type="continuationSeparator" w:id="0">
    <w:p w:rsidR="0029625D" w:rsidRDefault="0029625D" w:rsidP="006E50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5D" w:rsidRDefault="0029625D" w:rsidP="006E50EA">
      <w:pPr>
        <w:spacing w:before="0" w:after="0" w:line="240" w:lineRule="auto"/>
      </w:pPr>
      <w:r>
        <w:separator/>
      </w:r>
    </w:p>
  </w:footnote>
  <w:footnote w:type="continuationSeparator" w:id="0">
    <w:p w:rsidR="0029625D" w:rsidRDefault="0029625D" w:rsidP="006E50E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15pt;height:29.15pt;visibility:visible;mso-wrap-style:square" o:bullet="t">
        <v:imagedata r:id="rId1" o:title="Leaf"/>
      </v:shape>
    </w:pict>
  </w:numPicBullet>
  <w:abstractNum w:abstractNumId="0">
    <w:nsid w:val="FFFFFF7F"/>
    <w:multiLevelType w:val="singleLevel"/>
    <w:tmpl w:val="945AAD34"/>
    <w:lvl w:ilvl="0">
      <w:start w:val="1"/>
      <w:numFmt w:val="decimal"/>
      <w:lvlText w:val="%1."/>
      <w:lvlJc w:val="left"/>
      <w:pPr>
        <w:tabs>
          <w:tab w:val="num" w:pos="643"/>
        </w:tabs>
        <w:ind w:left="643" w:hanging="360"/>
      </w:pPr>
    </w:lvl>
  </w:abstractNum>
  <w:abstractNum w:abstractNumId="1">
    <w:nsid w:val="FFFFFF82"/>
    <w:multiLevelType w:val="singleLevel"/>
    <w:tmpl w:val="BC84A87A"/>
    <w:lvl w:ilvl="0">
      <w:start w:val="1"/>
      <w:numFmt w:val="bullet"/>
      <w:lvlText w:val=""/>
      <w:lvlJc w:val="left"/>
      <w:pPr>
        <w:ind w:left="926" w:hanging="360"/>
      </w:pPr>
      <w:rPr>
        <w:rFonts w:ascii="Wingdings" w:hAnsi="Wingdings" w:hint="default"/>
      </w:rPr>
    </w:lvl>
  </w:abstractNum>
  <w:abstractNum w:abstractNumId="2">
    <w:nsid w:val="FFFFFF83"/>
    <w:multiLevelType w:val="singleLevel"/>
    <w:tmpl w:val="27E6058A"/>
    <w:lvl w:ilvl="0">
      <w:start w:val="1"/>
      <w:numFmt w:val="bullet"/>
      <w:lvlText w:val=""/>
      <w:lvlJc w:val="left"/>
      <w:pPr>
        <w:ind w:left="643" w:hanging="360"/>
      </w:pPr>
      <w:rPr>
        <w:rFonts w:ascii="Symbol" w:hAnsi="Symbol" w:hint="default"/>
      </w:rPr>
    </w:lvl>
  </w:abstractNum>
  <w:abstractNum w:abstractNumId="3">
    <w:nsid w:val="FFFFFF88"/>
    <w:multiLevelType w:val="singleLevel"/>
    <w:tmpl w:val="259048CC"/>
    <w:lvl w:ilvl="0">
      <w:start w:val="1"/>
      <w:numFmt w:val="decimal"/>
      <w:lvlText w:val="%1."/>
      <w:lvlJc w:val="left"/>
      <w:pPr>
        <w:tabs>
          <w:tab w:val="num" w:pos="360"/>
        </w:tabs>
        <w:ind w:left="360" w:hanging="360"/>
      </w:pPr>
    </w:lvl>
  </w:abstractNum>
  <w:abstractNum w:abstractNumId="4">
    <w:nsid w:val="FFFFFF89"/>
    <w:multiLevelType w:val="singleLevel"/>
    <w:tmpl w:val="22EE5FE8"/>
    <w:lvl w:ilvl="0">
      <w:start w:val="1"/>
      <w:numFmt w:val="bullet"/>
      <w:lvlText w:val=""/>
      <w:lvlJc w:val="left"/>
      <w:pPr>
        <w:tabs>
          <w:tab w:val="num" w:pos="360"/>
        </w:tabs>
        <w:ind w:left="360" w:hanging="360"/>
      </w:pPr>
      <w:rPr>
        <w:rFonts w:ascii="Symbol" w:hAnsi="Symbol" w:hint="default"/>
      </w:rPr>
    </w:lvl>
  </w:abstractNum>
  <w:abstractNum w:abstractNumId="5">
    <w:nsid w:val="034A50E8"/>
    <w:multiLevelType w:val="multilevel"/>
    <w:tmpl w:val="D8025E48"/>
    <w:lvl w:ilvl="0">
      <w:start w:val="1"/>
      <w:numFmt w:val="lowerLetter"/>
      <w:pStyle w:val="AlphaNumbering"/>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Symbol" w:hAnsi="Symbol" w:hint="default"/>
        <w:color w:val="auto"/>
        <w:position w:val="0"/>
        <w:sz w:val="18"/>
      </w:rPr>
    </w:lvl>
    <w:lvl w:ilvl="2">
      <w:start w:val="1"/>
      <w:numFmt w:val="decimal"/>
      <w:lvlText w:val="%3."/>
      <w:lvlJc w:val="left"/>
      <w:pPr>
        <w:tabs>
          <w:tab w:val="num" w:pos="680"/>
        </w:tabs>
        <w:ind w:left="680" w:hanging="226"/>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nsid w:val="081956F9"/>
    <w:multiLevelType w:val="multilevel"/>
    <w:tmpl w:val="D7880524"/>
    <w:lvl w:ilvl="0">
      <w:start w:val="1"/>
      <w:numFmt w:val="bullet"/>
      <w:lvlText w:val="•"/>
      <w:lvlJc w:val="left"/>
      <w:pPr>
        <w:tabs>
          <w:tab w:val="num" w:pos="284"/>
        </w:tabs>
        <w:ind w:left="284" w:hanging="284"/>
      </w:pPr>
      <w:rPr>
        <w:rFonts w:ascii="Corbel" w:hAnsi="Corbe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C6419D6"/>
    <w:multiLevelType w:val="hybridMultilevel"/>
    <w:tmpl w:val="2266FD2A"/>
    <w:lvl w:ilvl="0" w:tplc="BD46D06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5175765"/>
    <w:multiLevelType w:val="hybridMultilevel"/>
    <w:tmpl w:val="FBD6C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E90ACE"/>
    <w:multiLevelType w:val="multilevel"/>
    <w:tmpl w:val="B3A2BD28"/>
    <w:lvl w:ilvl="0">
      <w:start w:val="1"/>
      <w:numFmt w:val="decimal"/>
      <w:pStyle w:val="ListNumber"/>
      <w:lvlText w:val="%1."/>
      <w:lvlJc w:val="left"/>
      <w:pPr>
        <w:tabs>
          <w:tab w:val="num" w:pos="284"/>
        </w:tabs>
        <w:ind w:left="284" w:hanging="284"/>
      </w:pPr>
      <w:rPr>
        <w:rFonts w:hint="default"/>
        <w:spacing w:val="-10"/>
        <w:position w:val="0"/>
        <w:sz w:val="18"/>
      </w:rPr>
    </w:lvl>
    <w:lvl w:ilvl="1">
      <w:start w:val="1"/>
      <w:numFmt w:val="lowerLetter"/>
      <w:pStyle w:val="ListNumber2"/>
      <w:lvlText w:val="%2."/>
      <w:lvlJc w:val="left"/>
      <w:pPr>
        <w:tabs>
          <w:tab w:val="num" w:pos="567"/>
        </w:tabs>
        <w:ind w:left="567" w:hanging="283"/>
      </w:pPr>
      <w:rPr>
        <w:rFonts w:hint="default"/>
        <w:spacing w:val="0"/>
        <w:w w:val="100"/>
        <w:kern w:val="0"/>
        <w:position w:val="0"/>
        <w:sz w:val="18"/>
      </w:rPr>
    </w:lvl>
    <w:lvl w:ilvl="2">
      <w:start w:val="1"/>
      <w:numFmt w:val="lowerRoman"/>
      <w:lvlText w:val="%3. "/>
      <w:lvlJc w:val="left"/>
      <w:pPr>
        <w:tabs>
          <w:tab w:val="num" w:pos="851"/>
        </w:tabs>
        <w:ind w:left="851" w:hanging="284"/>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0">
    <w:nsid w:val="35F109F8"/>
    <w:multiLevelType w:val="multilevel"/>
    <w:tmpl w:val="645A6896"/>
    <w:lvl w:ilvl="0">
      <w:start w:val="1"/>
      <w:numFmt w:val="bullet"/>
      <w:pStyle w:val="ListBullet"/>
      <w:lvlText w:val=""/>
      <w:lvlJc w:val="left"/>
      <w:pPr>
        <w:tabs>
          <w:tab w:val="num" w:pos="227"/>
        </w:tabs>
        <w:ind w:left="227" w:hanging="227"/>
      </w:pPr>
      <w:rPr>
        <w:rFonts w:ascii="Symbol" w:hAnsi="Symbol" w:hint="default"/>
        <w:color w:val="1C1C1C"/>
        <w:position w:val="2"/>
        <w:sz w:val="16"/>
      </w:rPr>
    </w:lvl>
    <w:lvl w:ilvl="1">
      <w:start w:val="1"/>
      <w:numFmt w:val="bullet"/>
      <w:pStyle w:val="ListBullet2"/>
      <w:lvlText w:val=""/>
      <w:lvlJc w:val="left"/>
      <w:pPr>
        <w:tabs>
          <w:tab w:val="num" w:pos="454"/>
        </w:tabs>
        <w:ind w:left="454" w:hanging="227"/>
      </w:pPr>
      <w:rPr>
        <w:rFonts w:ascii="Symbol" w:hAnsi="Symbol" w:hint="default"/>
        <w:color w:val="1C1C1C"/>
      </w:rPr>
    </w:lvl>
    <w:lvl w:ilvl="2">
      <w:start w:val="1"/>
      <w:numFmt w:val="bullet"/>
      <w:pStyle w:val="ListBullet3"/>
      <w:lvlText w:val=""/>
      <w:lvlJc w:val="left"/>
      <w:pPr>
        <w:tabs>
          <w:tab w:val="num" w:pos="680"/>
        </w:tabs>
        <w:ind w:left="680" w:hanging="226"/>
      </w:pPr>
      <w:rPr>
        <w:rFonts w:ascii="Symbol" w:hAnsi="Symbol" w:hint="default"/>
        <w:color w:val="1C1C1C"/>
      </w:rPr>
    </w:lvl>
    <w:lvl w:ilvl="3">
      <w:start w:val="1"/>
      <w:numFmt w:val="bullet"/>
      <w:lvlText w:val=""/>
      <w:lvlJc w:val="left"/>
      <w:pPr>
        <w:tabs>
          <w:tab w:val="num" w:pos="1247"/>
        </w:tabs>
        <w:ind w:left="1247" w:hanging="311"/>
      </w:pPr>
      <w:rPr>
        <w:rFonts w:ascii="Symbol" w:hAnsi="Symbol" w:hint="default"/>
        <w:color w:val="000000"/>
      </w:rPr>
    </w:lvl>
    <w:lvl w:ilvl="4">
      <w:start w:val="1"/>
      <w:numFmt w:val="bullet"/>
      <w:lvlText w:val=""/>
      <w:lvlJc w:val="left"/>
      <w:pPr>
        <w:tabs>
          <w:tab w:val="num" w:pos="1559"/>
        </w:tabs>
        <w:ind w:left="1559" w:hanging="312"/>
      </w:pPr>
      <w:rPr>
        <w:rFonts w:ascii="Symbol" w:hAnsi="Symbol" w:hint="default"/>
        <w:color w:val="000000"/>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1">
    <w:nsid w:val="5FE05F55"/>
    <w:multiLevelType w:val="hybridMultilevel"/>
    <w:tmpl w:val="8E46AC10"/>
    <w:lvl w:ilvl="0" w:tplc="726E819C">
      <w:start w:val="1"/>
      <w:numFmt w:val="lowerLetter"/>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5"/>
  </w:num>
  <w:num w:numId="6">
    <w:abstractNumId w:val="6"/>
  </w:num>
  <w:num w:numId="7">
    <w:abstractNumId w:val="11"/>
  </w:num>
  <w:num w:numId="8">
    <w:abstractNumId w:val="6"/>
  </w:num>
  <w:num w:numId="9">
    <w:abstractNumId w:val="10"/>
  </w:num>
  <w:num w:numId="10">
    <w:abstractNumId w:val="3"/>
  </w:num>
  <w:num w:numId="11">
    <w:abstractNumId w:val="9"/>
  </w:num>
  <w:num w:numId="12">
    <w:abstractNumId w:val="10"/>
  </w:num>
  <w:num w:numId="13">
    <w:abstractNumId w:val="0"/>
  </w:num>
  <w:num w:numId="14">
    <w:abstractNumId w:val="9"/>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5C"/>
    <w:rsid w:val="00000968"/>
    <w:rsid w:val="00000C9A"/>
    <w:rsid w:val="00001C57"/>
    <w:rsid w:val="00001DD0"/>
    <w:rsid w:val="00002DC1"/>
    <w:rsid w:val="000049F6"/>
    <w:rsid w:val="000052AB"/>
    <w:rsid w:val="000054C7"/>
    <w:rsid w:val="000065B5"/>
    <w:rsid w:val="00015195"/>
    <w:rsid w:val="00021841"/>
    <w:rsid w:val="00023B79"/>
    <w:rsid w:val="0002630D"/>
    <w:rsid w:val="00026946"/>
    <w:rsid w:val="00030975"/>
    <w:rsid w:val="00033421"/>
    <w:rsid w:val="000337E0"/>
    <w:rsid w:val="000348BE"/>
    <w:rsid w:val="00035870"/>
    <w:rsid w:val="00036056"/>
    <w:rsid w:val="00036EA2"/>
    <w:rsid w:val="00037F55"/>
    <w:rsid w:val="00045C1F"/>
    <w:rsid w:val="00050B9A"/>
    <w:rsid w:val="00052C3A"/>
    <w:rsid w:val="0006110A"/>
    <w:rsid w:val="0006589D"/>
    <w:rsid w:val="00066A36"/>
    <w:rsid w:val="00070129"/>
    <w:rsid w:val="00072505"/>
    <w:rsid w:val="000809A5"/>
    <w:rsid w:val="000817EE"/>
    <w:rsid w:val="000859A0"/>
    <w:rsid w:val="00087319"/>
    <w:rsid w:val="00091C2D"/>
    <w:rsid w:val="00092A73"/>
    <w:rsid w:val="00092CB8"/>
    <w:rsid w:val="000933AD"/>
    <w:rsid w:val="0009553A"/>
    <w:rsid w:val="000957DA"/>
    <w:rsid w:val="00097689"/>
    <w:rsid w:val="000B4822"/>
    <w:rsid w:val="000B592B"/>
    <w:rsid w:val="000C066E"/>
    <w:rsid w:val="000C2C09"/>
    <w:rsid w:val="000C53A7"/>
    <w:rsid w:val="000C6AF0"/>
    <w:rsid w:val="000D2238"/>
    <w:rsid w:val="000D255B"/>
    <w:rsid w:val="000D4194"/>
    <w:rsid w:val="000D4DF2"/>
    <w:rsid w:val="000D527F"/>
    <w:rsid w:val="000E05ED"/>
    <w:rsid w:val="000E1EFE"/>
    <w:rsid w:val="000E549E"/>
    <w:rsid w:val="000F0C5E"/>
    <w:rsid w:val="000F68BD"/>
    <w:rsid w:val="001021A2"/>
    <w:rsid w:val="00106D91"/>
    <w:rsid w:val="001135DD"/>
    <w:rsid w:val="001149C2"/>
    <w:rsid w:val="001166CF"/>
    <w:rsid w:val="0012134D"/>
    <w:rsid w:val="00122A51"/>
    <w:rsid w:val="00126A50"/>
    <w:rsid w:val="0013152B"/>
    <w:rsid w:val="00131B50"/>
    <w:rsid w:val="00132B8F"/>
    <w:rsid w:val="00132BDF"/>
    <w:rsid w:val="00133B8A"/>
    <w:rsid w:val="00134C57"/>
    <w:rsid w:val="001465A7"/>
    <w:rsid w:val="00150B73"/>
    <w:rsid w:val="00154815"/>
    <w:rsid w:val="001578DB"/>
    <w:rsid w:val="00164CD8"/>
    <w:rsid w:val="001656F6"/>
    <w:rsid w:val="00165D92"/>
    <w:rsid w:val="0016647D"/>
    <w:rsid w:val="00167D66"/>
    <w:rsid w:val="00173EC4"/>
    <w:rsid w:val="00174ACF"/>
    <w:rsid w:val="00175872"/>
    <w:rsid w:val="00176276"/>
    <w:rsid w:val="001803B2"/>
    <w:rsid w:val="0018730A"/>
    <w:rsid w:val="00192749"/>
    <w:rsid w:val="00193DE7"/>
    <w:rsid w:val="001975B1"/>
    <w:rsid w:val="00197893"/>
    <w:rsid w:val="001A0C5E"/>
    <w:rsid w:val="001A1AC3"/>
    <w:rsid w:val="001B1A0F"/>
    <w:rsid w:val="001B58B6"/>
    <w:rsid w:val="001B64B9"/>
    <w:rsid w:val="001C0239"/>
    <w:rsid w:val="001C1E15"/>
    <w:rsid w:val="001C2D6C"/>
    <w:rsid w:val="001C2FB3"/>
    <w:rsid w:val="001C4D4F"/>
    <w:rsid w:val="001C5850"/>
    <w:rsid w:val="001C7A22"/>
    <w:rsid w:val="001C7BE3"/>
    <w:rsid w:val="001D041D"/>
    <w:rsid w:val="001D1DA6"/>
    <w:rsid w:val="001D3D70"/>
    <w:rsid w:val="001E1052"/>
    <w:rsid w:val="001E2C42"/>
    <w:rsid w:val="001E36DF"/>
    <w:rsid w:val="001E5A04"/>
    <w:rsid w:val="001E78B6"/>
    <w:rsid w:val="001F3B59"/>
    <w:rsid w:val="001F5F2C"/>
    <w:rsid w:val="001F777C"/>
    <w:rsid w:val="00201B30"/>
    <w:rsid w:val="00202013"/>
    <w:rsid w:val="00203995"/>
    <w:rsid w:val="0020722A"/>
    <w:rsid w:val="00207AB4"/>
    <w:rsid w:val="002153DA"/>
    <w:rsid w:val="00221C37"/>
    <w:rsid w:val="00231BDC"/>
    <w:rsid w:val="00232EDA"/>
    <w:rsid w:val="00236FC7"/>
    <w:rsid w:val="00237070"/>
    <w:rsid w:val="00242FE7"/>
    <w:rsid w:val="0024663F"/>
    <w:rsid w:val="0025006C"/>
    <w:rsid w:val="00254F27"/>
    <w:rsid w:val="002559C5"/>
    <w:rsid w:val="002601CD"/>
    <w:rsid w:val="002621E9"/>
    <w:rsid w:val="0026285D"/>
    <w:rsid w:val="002658E6"/>
    <w:rsid w:val="00266530"/>
    <w:rsid w:val="00267B58"/>
    <w:rsid w:val="00267EB9"/>
    <w:rsid w:val="00270DEA"/>
    <w:rsid w:val="00270E41"/>
    <w:rsid w:val="00273525"/>
    <w:rsid w:val="00274327"/>
    <w:rsid w:val="002746A1"/>
    <w:rsid w:val="00283D79"/>
    <w:rsid w:val="0028565C"/>
    <w:rsid w:val="0029625D"/>
    <w:rsid w:val="00296A1A"/>
    <w:rsid w:val="002A01C4"/>
    <w:rsid w:val="002A5F6A"/>
    <w:rsid w:val="002B03F8"/>
    <w:rsid w:val="002B0EB9"/>
    <w:rsid w:val="002B1D09"/>
    <w:rsid w:val="002B50E4"/>
    <w:rsid w:val="002C052E"/>
    <w:rsid w:val="002C23D7"/>
    <w:rsid w:val="002C34DB"/>
    <w:rsid w:val="002C41B7"/>
    <w:rsid w:val="002C6D53"/>
    <w:rsid w:val="002D09AC"/>
    <w:rsid w:val="002D0BBC"/>
    <w:rsid w:val="002D4C5A"/>
    <w:rsid w:val="002F1F3A"/>
    <w:rsid w:val="0030196C"/>
    <w:rsid w:val="00301B8B"/>
    <w:rsid w:val="00303E4F"/>
    <w:rsid w:val="00303FD6"/>
    <w:rsid w:val="0030680A"/>
    <w:rsid w:val="00310721"/>
    <w:rsid w:val="003116B8"/>
    <w:rsid w:val="0031371C"/>
    <w:rsid w:val="0031510B"/>
    <w:rsid w:val="00316E1A"/>
    <w:rsid w:val="00326FBE"/>
    <w:rsid w:val="0033284F"/>
    <w:rsid w:val="00333EA8"/>
    <w:rsid w:val="003356AD"/>
    <w:rsid w:val="00336477"/>
    <w:rsid w:val="00336B86"/>
    <w:rsid w:val="00336B98"/>
    <w:rsid w:val="003408C8"/>
    <w:rsid w:val="00343E3E"/>
    <w:rsid w:val="00344DEF"/>
    <w:rsid w:val="00344ED1"/>
    <w:rsid w:val="00352284"/>
    <w:rsid w:val="0036289C"/>
    <w:rsid w:val="003633DF"/>
    <w:rsid w:val="00363542"/>
    <w:rsid w:val="00363BF4"/>
    <w:rsid w:val="0037247A"/>
    <w:rsid w:val="003726B2"/>
    <w:rsid w:val="00373D49"/>
    <w:rsid w:val="00374455"/>
    <w:rsid w:val="00375CAC"/>
    <w:rsid w:val="0038314F"/>
    <w:rsid w:val="003853FE"/>
    <w:rsid w:val="0039359C"/>
    <w:rsid w:val="003A0647"/>
    <w:rsid w:val="003A199B"/>
    <w:rsid w:val="003A4EE0"/>
    <w:rsid w:val="003B00A6"/>
    <w:rsid w:val="003B1DEC"/>
    <w:rsid w:val="003B4688"/>
    <w:rsid w:val="003C3CE6"/>
    <w:rsid w:val="003C7F93"/>
    <w:rsid w:val="003D0180"/>
    <w:rsid w:val="003D3365"/>
    <w:rsid w:val="003D51A0"/>
    <w:rsid w:val="003D5655"/>
    <w:rsid w:val="003D5A90"/>
    <w:rsid w:val="003D6CB4"/>
    <w:rsid w:val="003D76B1"/>
    <w:rsid w:val="003D7B77"/>
    <w:rsid w:val="003E3E6A"/>
    <w:rsid w:val="003F5F50"/>
    <w:rsid w:val="003F60D4"/>
    <w:rsid w:val="00401779"/>
    <w:rsid w:val="00415544"/>
    <w:rsid w:val="00415BA6"/>
    <w:rsid w:val="004203BE"/>
    <w:rsid w:val="00423934"/>
    <w:rsid w:val="004258D4"/>
    <w:rsid w:val="004276CB"/>
    <w:rsid w:val="00427A3A"/>
    <w:rsid w:val="004308F7"/>
    <w:rsid w:val="00430FF0"/>
    <w:rsid w:val="00437BEC"/>
    <w:rsid w:val="004409E5"/>
    <w:rsid w:val="00441D6B"/>
    <w:rsid w:val="00442574"/>
    <w:rsid w:val="00444637"/>
    <w:rsid w:val="004539B8"/>
    <w:rsid w:val="0045562F"/>
    <w:rsid w:val="00460ACE"/>
    <w:rsid w:val="00461693"/>
    <w:rsid w:val="00464CD2"/>
    <w:rsid w:val="00465995"/>
    <w:rsid w:val="004726A7"/>
    <w:rsid w:val="0047525E"/>
    <w:rsid w:val="00476704"/>
    <w:rsid w:val="00481D40"/>
    <w:rsid w:val="00481FFC"/>
    <w:rsid w:val="00482B5E"/>
    <w:rsid w:val="00486C6E"/>
    <w:rsid w:val="00492457"/>
    <w:rsid w:val="00496B61"/>
    <w:rsid w:val="00496CBD"/>
    <w:rsid w:val="004A1B92"/>
    <w:rsid w:val="004A6B1D"/>
    <w:rsid w:val="004A72DE"/>
    <w:rsid w:val="004A7891"/>
    <w:rsid w:val="004B1154"/>
    <w:rsid w:val="004B1AE0"/>
    <w:rsid w:val="004B51FF"/>
    <w:rsid w:val="004B5F0F"/>
    <w:rsid w:val="004B6068"/>
    <w:rsid w:val="004B66EF"/>
    <w:rsid w:val="004C0E99"/>
    <w:rsid w:val="004C12EF"/>
    <w:rsid w:val="004C21D2"/>
    <w:rsid w:val="004C77B6"/>
    <w:rsid w:val="004D3F00"/>
    <w:rsid w:val="004D5A47"/>
    <w:rsid w:val="004D7494"/>
    <w:rsid w:val="004E147D"/>
    <w:rsid w:val="004E2896"/>
    <w:rsid w:val="004E3A6F"/>
    <w:rsid w:val="004E5F89"/>
    <w:rsid w:val="004E717B"/>
    <w:rsid w:val="004F2DFD"/>
    <w:rsid w:val="00501888"/>
    <w:rsid w:val="0050562A"/>
    <w:rsid w:val="00505A8F"/>
    <w:rsid w:val="00506191"/>
    <w:rsid w:val="00512663"/>
    <w:rsid w:val="0051387B"/>
    <w:rsid w:val="00517967"/>
    <w:rsid w:val="005202B9"/>
    <w:rsid w:val="00521979"/>
    <w:rsid w:val="005235C3"/>
    <w:rsid w:val="005236E3"/>
    <w:rsid w:val="005248EB"/>
    <w:rsid w:val="005308E9"/>
    <w:rsid w:val="00530FCB"/>
    <w:rsid w:val="00533099"/>
    <w:rsid w:val="00534C5F"/>
    <w:rsid w:val="005405BC"/>
    <w:rsid w:val="00542775"/>
    <w:rsid w:val="005445BE"/>
    <w:rsid w:val="005455C6"/>
    <w:rsid w:val="00545C79"/>
    <w:rsid w:val="005502C9"/>
    <w:rsid w:val="00561658"/>
    <w:rsid w:val="00565FCA"/>
    <w:rsid w:val="00566CA2"/>
    <w:rsid w:val="005738AF"/>
    <w:rsid w:val="0058122D"/>
    <w:rsid w:val="00584C93"/>
    <w:rsid w:val="0058555D"/>
    <w:rsid w:val="005879BD"/>
    <w:rsid w:val="00595B08"/>
    <w:rsid w:val="005A0E61"/>
    <w:rsid w:val="005A27BC"/>
    <w:rsid w:val="005A775C"/>
    <w:rsid w:val="005B32B1"/>
    <w:rsid w:val="005B4749"/>
    <w:rsid w:val="005B54D2"/>
    <w:rsid w:val="005B54E2"/>
    <w:rsid w:val="005B7EAF"/>
    <w:rsid w:val="005C1C8B"/>
    <w:rsid w:val="005C35EA"/>
    <w:rsid w:val="005C37DE"/>
    <w:rsid w:val="005C4540"/>
    <w:rsid w:val="005C71E6"/>
    <w:rsid w:val="005D01E7"/>
    <w:rsid w:val="005D2992"/>
    <w:rsid w:val="005D6F4C"/>
    <w:rsid w:val="005E20B8"/>
    <w:rsid w:val="005E7B97"/>
    <w:rsid w:val="005F0C2A"/>
    <w:rsid w:val="005F0E9A"/>
    <w:rsid w:val="005F274B"/>
    <w:rsid w:val="005F55C0"/>
    <w:rsid w:val="005F6D41"/>
    <w:rsid w:val="0060233C"/>
    <w:rsid w:val="0060295A"/>
    <w:rsid w:val="00603441"/>
    <w:rsid w:val="006039F1"/>
    <w:rsid w:val="00607180"/>
    <w:rsid w:val="00614B4A"/>
    <w:rsid w:val="00630C76"/>
    <w:rsid w:val="00633ACE"/>
    <w:rsid w:val="0063431B"/>
    <w:rsid w:val="00634B6F"/>
    <w:rsid w:val="00640645"/>
    <w:rsid w:val="0064126C"/>
    <w:rsid w:val="0064472F"/>
    <w:rsid w:val="00650BF1"/>
    <w:rsid w:val="0065566B"/>
    <w:rsid w:val="006648F6"/>
    <w:rsid w:val="00664EE9"/>
    <w:rsid w:val="006708CB"/>
    <w:rsid w:val="006734DC"/>
    <w:rsid w:val="006734F5"/>
    <w:rsid w:val="00673579"/>
    <w:rsid w:val="006813F1"/>
    <w:rsid w:val="00681FAB"/>
    <w:rsid w:val="006830A2"/>
    <w:rsid w:val="00685924"/>
    <w:rsid w:val="00690E4F"/>
    <w:rsid w:val="00692128"/>
    <w:rsid w:val="00692DEF"/>
    <w:rsid w:val="006944C1"/>
    <w:rsid w:val="00694EDF"/>
    <w:rsid w:val="006955F5"/>
    <w:rsid w:val="00697C4D"/>
    <w:rsid w:val="006A016D"/>
    <w:rsid w:val="006A0713"/>
    <w:rsid w:val="006A7C3B"/>
    <w:rsid w:val="006B40D1"/>
    <w:rsid w:val="006B54DF"/>
    <w:rsid w:val="006B5D02"/>
    <w:rsid w:val="006B64DA"/>
    <w:rsid w:val="006B7253"/>
    <w:rsid w:val="006B7340"/>
    <w:rsid w:val="006B7B26"/>
    <w:rsid w:val="006B7BD1"/>
    <w:rsid w:val="006C065C"/>
    <w:rsid w:val="006D5130"/>
    <w:rsid w:val="006D581B"/>
    <w:rsid w:val="006D6D21"/>
    <w:rsid w:val="006E1A67"/>
    <w:rsid w:val="006E50EA"/>
    <w:rsid w:val="006F1785"/>
    <w:rsid w:val="006F3ECA"/>
    <w:rsid w:val="006F408B"/>
    <w:rsid w:val="006F4396"/>
    <w:rsid w:val="006F5405"/>
    <w:rsid w:val="00702FCD"/>
    <w:rsid w:val="007037AD"/>
    <w:rsid w:val="007042A3"/>
    <w:rsid w:val="00706096"/>
    <w:rsid w:val="00706BB6"/>
    <w:rsid w:val="0071549C"/>
    <w:rsid w:val="00715526"/>
    <w:rsid w:val="0072323F"/>
    <w:rsid w:val="00723FAA"/>
    <w:rsid w:val="00726C86"/>
    <w:rsid w:val="00732EDD"/>
    <w:rsid w:val="0074014A"/>
    <w:rsid w:val="00744FCB"/>
    <w:rsid w:val="007454D8"/>
    <w:rsid w:val="007454E0"/>
    <w:rsid w:val="0074645E"/>
    <w:rsid w:val="00753448"/>
    <w:rsid w:val="0075495D"/>
    <w:rsid w:val="00761AB0"/>
    <w:rsid w:val="00762FD0"/>
    <w:rsid w:val="00764EB2"/>
    <w:rsid w:val="00765A9B"/>
    <w:rsid w:val="00766143"/>
    <w:rsid w:val="007672FE"/>
    <w:rsid w:val="007737D1"/>
    <w:rsid w:val="007750BE"/>
    <w:rsid w:val="007758DD"/>
    <w:rsid w:val="0078006C"/>
    <w:rsid w:val="00780C5A"/>
    <w:rsid w:val="00781872"/>
    <w:rsid w:val="00782AB7"/>
    <w:rsid w:val="00785F38"/>
    <w:rsid w:val="00794808"/>
    <w:rsid w:val="007948B7"/>
    <w:rsid w:val="007956AD"/>
    <w:rsid w:val="00796E63"/>
    <w:rsid w:val="007A1248"/>
    <w:rsid w:val="007A55AA"/>
    <w:rsid w:val="007B114F"/>
    <w:rsid w:val="007B1BB7"/>
    <w:rsid w:val="007B2F36"/>
    <w:rsid w:val="007B35F7"/>
    <w:rsid w:val="007B6000"/>
    <w:rsid w:val="007B79BD"/>
    <w:rsid w:val="007C2F65"/>
    <w:rsid w:val="007C4D82"/>
    <w:rsid w:val="007C7BB9"/>
    <w:rsid w:val="007D051E"/>
    <w:rsid w:val="007D08BA"/>
    <w:rsid w:val="007D354D"/>
    <w:rsid w:val="007E2005"/>
    <w:rsid w:val="007E3E5E"/>
    <w:rsid w:val="007F07A7"/>
    <w:rsid w:val="007F1871"/>
    <w:rsid w:val="007F3E38"/>
    <w:rsid w:val="007F4F57"/>
    <w:rsid w:val="007F59A1"/>
    <w:rsid w:val="007F5AE3"/>
    <w:rsid w:val="00800076"/>
    <w:rsid w:val="0080433E"/>
    <w:rsid w:val="008079AD"/>
    <w:rsid w:val="008109D8"/>
    <w:rsid w:val="00810E71"/>
    <w:rsid w:val="00811754"/>
    <w:rsid w:val="008128EF"/>
    <w:rsid w:val="00812A7E"/>
    <w:rsid w:val="00822BBA"/>
    <w:rsid w:val="0082618A"/>
    <w:rsid w:val="00832749"/>
    <w:rsid w:val="00841026"/>
    <w:rsid w:val="008417D8"/>
    <w:rsid w:val="00843C10"/>
    <w:rsid w:val="00845C78"/>
    <w:rsid w:val="00846E9E"/>
    <w:rsid w:val="00847C25"/>
    <w:rsid w:val="00850240"/>
    <w:rsid w:val="008507ED"/>
    <w:rsid w:val="00853474"/>
    <w:rsid w:val="00854764"/>
    <w:rsid w:val="00855B24"/>
    <w:rsid w:val="008609A1"/>
    <w:rsid w:val="00861608"/>
    <w:rsid w:val="008623AD"/>
    <w:rsid w:val="00870E11"/>
    <w:rsid w:val="00872B1B"/>
    <w:rsid w:val="00872FA4"/>
    <w:rsid w:val="008739EF"/>
    <w:rsid w:val="008747DA"/>
    <w:rsid w:val="00875555"/>
    <w:rsid w:val="00876BF1"/>
    <w:rsid w:val="00877054"/>
    <w:rsid w:val="008814CF"/>
    <w:rsid w:val="00885253"/>
    <w:rsid w:val="00887767"/>
    <w:rsid w:val="008902B6"/>
    <w:rsid w:val="00890EBF"/>
    <w:rsid w:val="00891200"/>
    <w:rsid w:val="008959A5"/>
    <w:rsid w:val="0089659C"/>
    <w:rsid w:val="00896A88"/>
    <w:rsid w:val="00897004"/>
    <w:rsid w:val="008A05F5"/>
    <w:rsid w:val="008A3EB1"/>
    <w:rsid w:val="008A5CF5"/>
    <w:rsid w:val="008B41ED"/>
    <w:rsid w:val="008B7970"/>
    <w:rsid w:val="008C21CC"/>
    <w:rsid w:val="008C236D"/>
    <w:rsid w:val="008C3A7F"/>
    <w:rsid w:val="008C744F"/>
    <w:rsid w:val="008D42BC"/>
    <w:rsid w:val="008D74B9"/>
    <w:rsid w:val="008E234F"/>
    <w:rsid w:val="008E43E2"/>
    <w:rsid w:val="008E6EE8"/>
    <w:rsid w:val="008F3884"/>
    <w:rsid w:val="008F5C3D"/>
    <w:rsid w:val="0090156B"/>
    <w:rsid w:val="00901B8D"/>
    <w:rsid w:val="00901F42"/>
    <w:rsid w:val="009105EF"/>
    <w:rsid w:val="009122C5"/>
    <w:rsid w:val="00912577"/>
    <w:rsid w:val="00913F20"/>
    <w:rsid w:val="0091420D"/>
    <w:rsid w:val="00914413"/>
    <w:rsid w:val="009152AF"/>
    <w:rsid w:val="009172D3"/>
    <w:rsid w:val="0092082F"/>
    <w:rsid w:val="00920CF8"/>
    <w:rsid w:val="0092156C"/>
    <w:rsid w:val="00925F7E"/>
    <w:rsid w:val="00933417"/>
    <w:rsid w:val="00940001"/>
    <w:rsid w:val="0094309C"/>
    <w:rsid w:val="00947861"/>
    <w:rsid w:val="009479D6"/>
    <w:rsid w:val="00951C41"/>
    <w:rsid w:val="009535D6"/>
    <w:rsid w:val="0095554F"/>
    <w:rsid w:val="00961B56"/>
    <w:rsid w:val="00963750"/>
    <w:rsid w:val="00967789"/>
    <w:rsid w:val="0097069B"/>
    <w:rsid w:val="009735E5"/>
    <w:rsid w:val="009777DE"/>
    <w:rsid w:val="00980895"/>
    <w:rsid w:val="0098385C"/>
    <w:rsid w:val="00983BC8"/>
    <w:rsid w:val="009864B2"/>
    <w:rsid w:val="00986F26"/>
    <w:rsid w:val="00987A3F"/>
    <w:rsid w:val="00987E4F"/>
    <w:rsid w:val="00995988"/>
    <w:rsid w:val="009B30D5"/>
    <w:rsid w:val="009B4434"/>
    <w:rsid w:val="009B5576"/>
    <w:rsid w:val="009C053E"/>
    <w:rsid w:val="009C37A3"/>
    <w:rsid w:val="009C38BC"/>
    <w:rsid w:val="009C4CC9"/>
    <w:rsid w:val="009D03A8"/>
    <w:rsid w:val="009D1A17"/>
    <w:rsid w:val="009D1F77"/>
    <w:rsid w:val="009D268A"/>
    <w:rsid w:val="009D31AF"/>
    <w:rsid w:val="009D31E2"/>
    <w:rsid w:val="009D47CC"/>
    <w:rsid w:val="009D48A3"/>
    <w:rsid w:val="009D49A4"/>
    <w:rsid w:val="009E7585"/>
    <w:rsid w:val="009E7848"/>
    <w:rsid w:val="009F0F1B"/>
    <w:rsid w:val="009F1002"/>
    <w:rsid w:val="009F2CF2"/>
    <w:rsid w:val="009F3E3E"/>
    <w:rsid w:val="009F3FB4"/>
    <w:rsid w:val="009F79D1"/>
    <w:rsid w:val="009F7FFC"/>
    <w:rsid w:val="00A118CC"/>
    <w:rsid w:val="00A11B34"/>
    <w:rsid w:val="00A12156"/>
    <w:rsid w:val="00A17A6E"/>
    <w:rsid w:val="00A21102"/>
    <w:rsid w:val="00A23348"/>
    <w:rsid w:val="00A2396C"/>
    <w:rsid w:val="00A251DE"/>
    <w:rsid w:val="00A302E7"/>
    <w:rsid w:val="00A315D2"/>
    <w:rsid w:val="00A32DAA"/>
    <w:rsid w:val="00A41703"/>
    <w:rsid w:val="00A432E8"/>
    <w:rsid w:val="00A470DE"/>
    <w:rsid w:val="00A57393"/>
    <w:rsid w:val="00A63063"/>
    <w:rsid w:val="00A655B3"/>
    <w:rsid w:val="00A727F0"/>
    <w:rsid w:val="00A744EC"/>
    <w:rsid w:val="00A771A2"/>
    <w:rsid w:val="00A77A62"/>
    <w:rsid w:val="00A80B42"/>
    <w:rsid w:val="00A8287A"/>
    <w:rsid w:val="00A906A4"/>
    <w:rsid w:val="00A9770D"/>
    <w:rsid w:val="00AA0659"/>
    <w:rsid w:val="00AA4A69"/>
    <w:rsid w:val="00AA5729"/>
    <w:rsid w:val="00AA7686"/>
    <w:rsid w:val="00AB0025"/>
    <w:rsid w:val="00AB49D1"/>
    <w:rsid w:val="00AB5FE9"/>
    <w:rsid w:val="00AC32AB"/>
    <w:rsid w:val="00AC35E5"/>
    <w:rsid w:val="00AC3B12"/>
    <w:rsid w:val="00AC450A"/>
    <w:rsid w:val="00AC4638"/>
    <w:rsid w:val="00AD0662"/>
    <w:rsid w:val="00AD09A0"/>
    <w:rsid w:val="00AD3122"/>
    <w:rsid w:val="00AD6698"/>
    <w:rsid w:val="00AD67B8"/>
    <w:rsid w:val="00AE08AA"/>
    <w:rsid w:val="00AE117B"/>
    <w:rsid w:val="00AE1B13"/>
    <w:rsid w:val="00AE36D5"/>
    <w:rsid w:val="00AE571C"/>
    <w:rsid w:val="00AE5F92"/>
    <w:rsid w:val="00AF0D69"/>
    <w:rsid w:val="00AF180A"/>
    <w:rsid w:val="00AF27AF"/>
    <w:rsid w:val="00AF6875"/>
    <w:rsid w:val="00AF74DD"/>
    <w:rsid w:val="00B10ECE"/>
    <w:rsid w:val="00B16097"/>
    <w:rsid w:val="00B168D0"/>
    <w:rsid w:val="00B21B3B"/>
    <w:rsid w:val="00B21FCC"/>
    <w:rsid w:val="00B23AF0"/>
    <w:rsid w:val="00B2418D"/>
    <w:rsid w:val="00B41121"/>
    <w:rsid w:val="00B41126"/>
    <w:rsid w:val="00B41728"/>
    <w:rsid w:val="00B4747F"/>
    <w:rsid w:val="00B53F7F"/>
    <w:rsid w:val="00B55484"/>
    <w:rsid w:val="00B55A7A"/>
    <w:rsid w:val="00B64899"/>
    <w:rsid w:val="00B65347"/>
    <w:rsid w:val="00B65D27"/>
    <w:rsid w:val="00B70B67"/>
    <w:rsid w:val="00B70D0D"/>
    <w:rsid w:val="00B742BA"/>
    <w:rsid w:val="00B755C2"/>
    <w:rsid w:val="00B80EA4"/>
    <w:rsid w:val="00B82FEB"/>
    <w:rsid w:val="00B84D3C"/>
    <w:rsid w:val="00B856D3"/>
    <w:rsid w:val="00B95F63"/>
    <w:rsid w:val="00B97888"/>
    <w:rsid w:val="00BA2698"/>
    <w:rsid w:val="00BA2C7B"/>
    <w:rsid w:val="00BA62A9"/>
    <w:rsid w:val="00BA6FE6"/>
    <w:rsid w:val="00BB1596"/>
    <w:rsid w:val="00BB1A1B"/>
    <w:rsid w:val="00BB2263"/>
    <w:rsid w:val="00BB2E4F"/>
    <w:rsid w:val="00BB3369"/>
    <w:rsid w:val="00BB34F7"/>
    <w:rsid w:val="00BC50E2"/>
    <w:rsid w:val="00BD4B7D"/>
    <w:rsid w:val="00BD6D1B"/>
    <w:rsid w:val="00BD7C13"/>
    <w:rsid w:val="00BE22D2"/>
    <w:rsid w:val="00BE265C"/>
    <w:rsid w:val="00BE2C19"/>
    <w:rsid w:val="00BE383E"/>
    <w:rsid w:val="00BE4069"/>
    <w:rsid w:val="00BE5EEE"/>
    <w:rsid w:val="00BF77B7"/>
    <w:rsid w:val="00C00288"/>
    <w:rsid w:val="00C01BFA"/>
    <w:rsid w:val="00C01F7E"/>
    <w:rsid w:val="00C079C0"/>
    <w:rsid w:val="00C07EB9"/>
    <w:rsid w:val="00C10B08"/>
    <w:rsid w:val="00C12305"/>
    <w:rsid w:val="00C13913"/>
    <w:rsid w:val="00C16CE4"/>
    <w:rsid w:val="00C17502"/>
    <w:rsid w:val="00C200C0"/>
    <w:rsid w:val="00C20C57"/>
    <w:rsid w:val="00C224CE"/>
    <w:rsid w:val="00C23AFC"/>
    <w:rsid w:val="00C26FA3"/>
    <w:rsid w:val="00C30375"/>
    <w:rsid w:val="00C370A8"/>
    <w:rsid w:val="00C414EE"/>
    <w:rsid w:val="00C4188D"/>
    <w:rsid w:val="00C45629"/>
    <w:rsid w:val="00C5183D"/>
    <w:rsid w:val="00C51F0F"/>
    <w:rsid w:val="00C54BA0"/>
    <w:rsid w:val="00C56B8A"/>
    <w:rsid w:val="00C600A2"/>
    <w:rsid w:val="00C64723"/>
    <w:rsid w:val="00C64828"/>
    <w:rsid w:val="00C668A5"/>
    <w:rsid w:val="00C726F9"/>
    <w:rsid w:val="00C763BD"/>
    <w:rsid w:val="00C81C1A"/>
    <w:rsid w:val="00C82DEA"/>
    <w:rsid w:val="00C8529A"/>
    <w:rsid w:val="00C8732E"/>
    <w:rsid w:val="00C911F0"/>
    <w:rsid w:val="00C93E3C"/>
    <w:rsid w:val="00C945E1"/>
    <w:rsid w:val="00C94A17"/>
    <w:rsid w:val="00C969FE"/>
    <w:rsid w:val="00CA458A"/>
    <w:rsid w:val="00CA774B"/>
    <w:rsid w:val="00CB146C"/>
    <w:rsid w:val="00CB14C1"/>
    <w:rsid w:val="00CB49F9"/>
    <w:rsid w:val="00CB54E2"/>
    <w:rsid w:val="00CB772F"/>
    <w:rsid w:val="00CC50C4"/>
    <w:rsid w:val="00CC5C00"/>
    <w:rsid w:val="00CC64E3"/>
    <w:rsid w:val="00CC7824"/>
    <w:rsid w:val="00CD2054"/>
    <w:rsid w:val="00CD3F7B"/>
    <w:rsid w:val="00CD63A5"/>
    <w:rsid w:val="00CD7D8D"/>
    <w:rsid w:val="00CF2C69"/>
    <w:rsid w:val="00CF3E96"/>
    <w:rsid w:val="00CF4907"/>
    <w:rsid w:val="00CF50B3"/>
    <w:rsid w:val="00CF55AA"/>
    <w:rsid w:val="00CF5C16"/>
    <w:rsid w:val="00CF7B91"/>
    <w:rsid w:val="00D02597"/>
    <w:rsid w:val="00D02A71"/>
    <w:rsid w:val="00D04398"/>
    <w:rsid w:val="00D10D40"/>
    <w:rsid w:val="00D140D3"/>
    <w:rsid w:val="00D16CAB"/>
    <w:rsid w:val="00D17C26"/>
    <w:rsid w:val="00D25057"/>
    <w:rsid w:val="00D25E35"/>
    <w:rsid w:val="00D269FB"/>
    <w:rsid w:val="00D271DF"/>
    <w:rsid w:val="00D34D12"/>
    <w:rsid w:val="00D37E3A"/>
    <w:rsid w:val="00D40CBA"/>
    <w:rsid w:val="00D40D1A"/>
    <w:rsid w:val="00D43798"/>
    <w:rsid w:val="00D456CC"/>
    <w:rsid w:val="00D45CC0"/>
    <w:rsid w:val="00D53EE4"/>
    <w:rsid w:val="00D60E46"/>
    <w:rsid w:val="00D630E4"/>
    <w:rsid w:val="00D66225"/>
    <w:rsid w:val="00D70425"/>
    <w:rsid w:val="00D75FF0"/>
    <w:rsid w:val="00D7618B"/>
    <w:rsid w:val="00D765C1"/>
    <w:rsid w:val="00D83647"/>
    <w:rsid w:val="00D8401D"/>
    <w:rsid w:val="00D84147"/>
    <w:rsid w:val="00D91B27"/>
    <w:rsid w:val="00D95F89"/>
    <w:rsid w:val="00D96544"/>
    <w:rsid w:val="00DA1056"/>
    <w:rsid w:val="00DA1819"/>
    <w:rsid w:val="00DA3A7E"/>
    <w:rsid w:val="00DA4D43"/>
    <w:rsid w:val="00DA4DC9"/>
    <w:rsid w:val="00DA74E5"/>
    <w:rsid w:val="00DB55C2"/>
    <w:rsid w:val="00DC2B64"/>
    <w:rsid w:val="00DC33D6"/>
    <w:rsid w:val="00DC3B03"/>
    <w:rsid w:val="00DC7AB1"/>
    <w:rsid w:val="00DD68B4"/>
    <w:rsid w:val="00DE1732"/>
    <w:rsid w:val="00DE1D8D"/>
    <w:rsid w:val="00DE3E7A"/>
    <w:rsid w:val="00DE49C4"/>
    <w:rsid w:val="00DE62A6"/>
    <w:rsid w:val="00DE7C93"/>
    <w:rsid w:val="00DF0235"/>
    <w:rsid w:val="00DF06FF"/>
    <w:rsid w:val="00DF0F25"/>
    <w:rsid w:val="00DF1122"/>
    <w:rsid w:val="00DF2F24"/>
    <w:rsid w:val="00DF3760"/>
    <w:rsid w:val="00DF4583"/>
    <w:rsid w:val="00DF6176"/>
    <w:rsid w:val="00E00784"/>
    <w:rsid w:val="00E011B0"/>
    <w:rsid w:val="00E034C4"/>
    <w:rsid w:val="00E11A40"/>
    <w:rsid w:val="00E12572"/>
    <w:rsid w:val="00E15030"/>
    <w:rsid w:val="00E1532D"/>
    <w:rsid w:val="00E2799C"/>
    <w:rsid w:val="00E304A5"/>
    <w:rsid w:val="00E30CF9"/>
    <w:rsid w:val="00E32186"/>
    <w:rsid w:val="00E32849"/>
    <w:rsid w:val="00E37EB8"/>
    <w:rsid w:val="00E4095F"/>
    <w:rsid w:val="00E447F9"/>
    <w:rsid w:val="00E44C32"/>
    <w:rsid w:val="00E44CA8"/>
    <w:rsid w:val="00E45922"/>
    <w:rsid w:val="00E47F0A"/>
    <w:rsid w:val="00E50722"/>
    <w:rsid w:val="00E520ED"/>
    <w:rsid w:val="00E55D75"/>
    <w:rsid w:val="00E62A0D"/>
    <w:rsid w:val="00E67716"/>
    <w:rsid w:val="00E67F6B"/>
    <w:rsid w:val="00E726E9"/>
    <w:rsid w:val="00E759DF"/>
    <w:rsid w:val="00E772C3"/>
    <w:rsid w:val="00E77555"/>
    <w:rsid w:val="00E8154D"/>
    <w:rsid w:val="00E8185B"/>
    <w:rsid w:val="00E82CB0"/>
    <w:rsid w:val="00E9007E"/>
    <w:rsid w:val="00E90477"/>
    <w:rsid w:val="00E92D68"/>
    <w:rsid w:val="00E96C0B"/>
    <w:rsid w:val="00EA515C"/>
    <w:rsid w:val="00EA7BB2"/>
    <w:rsid w:val="00EB2886"/>
    <w:rsid w:val="00EB33A8"/>
    <w:rsid w:val="00EB4A38"/>
    <w:rsid w:val="00EB5E85"/>
    <w:rsid w:val="00EC3E85"/>
    <w:rsid w:val="00EC4220"/>
    <w:rsid w:val="00EC52A0"/>
    <w:rsid w:val="00ED1EBF"/>
    <w:rsid w:val="00ED3113"/>
    <w:rsid w:val="00ED580D"/>
    <w:rsid w:val="00ED5E7A"/>
    <w:rsid w:val="00EE3987"/>
    <w:rsid w:val="00EE5174"/>
    <w:rsid w:val="00EF29FC"/>
    <w:rsid w:val="00EF54E4"/>
    <w:rsid w:val="00EF569C"/>
    <w:rsid w:val="00EF79A6"/>
    <w:rsid w:val="00EF7F8B"/>
    <w:rsid w:val="00F01DC7"/>
    <w:rsid w:val="00F022D5"/>
    <w:rsid w:val="00F05F3C"/>
    <w:rsid w:val="00F06FD8"/>
    <w:rsid w:val="00F07325"/>
    <w:rsid w:val="00F116F3"/>
    <w:rsid w:val="00F1270F"/>
    <w:rsid w:val="00F13B6C"/>
    <w:rsid w:val="00F143BF"/>
    <w:rsid w:val="00F14B0F"/>
    <w:rsid w:val="00F15214"/>
    <w:rsid w:val="00F1774E"/>
    <w:rsid w:val="00F17DA6"/>
    <w:rsid w:val="00F2259D"/>
    <w:rsid w:val="00F2457A"/>
    <w:rsid w:val="00F25F0C"/>
    <w:rsid w:val="00F27E39"/>
    <w:rsid w:val="00F35E9E"/>
    <w:rsid w:val="00F36C90"/>
    <w:rsid w:val="00F36E4E"/>
    <w:rsid w:val="00F41A6A"/>
    <w:rsid w:val="00F469A8"/>
    <w:rsid w:val="00F51571"/>
    <w:rsid w:val="00F52B41"/>
    <w:rsid w:val="00F53EE4"/>
    <w:rsid w:val="00F60FCA"/>
    <w:rsid w:val="00F630E5"/>
    <w:rsid w:val="00F667A9"/>
    <w:rsid w:val="00F74549"/>
    <w:rsid w:val="00F8021E"/>
    <w:rsid w:val="00F81E06"/>
    <w:rsid w:val="00F82085"/>
    <w:rsid w:val="00F862D5"/>
    <w:rsid w:val="00F90F49"/>
    <w:rsid w:val="00F91292"/>
    <w:rsid w:val="00F91EDF"/>
    <w:rsid w:val="00F92AD3"/>
    <w:rsid w:val="00F96969"/>
    <w:rsid w:val="00F96993"/>
    <w:rsid w:val="00F9785E"/>
    <w:rsid w:val="00F97941"/>
    <w:rsid w:val="00F97C37"/>
    <w:rsid w:val="00FA0045"/>
    <w:rsid w:val="00FA4662"/>
    <w:rsid w:val="00FA7D32"/>
    <w:rsid w:val="00FB10A9"/>
    <w:rsid w:val="00FB426B"/>
    <w:rsid w:val="00FB46F3"/>
    <w:rsid w:val="00FB6803"/>
    <w:rsid w:val="00FB6A09"/>
    <w:rsid w:val="00FB6CA6"/>
    <w:rsid w:val="00FC6D8A"/>
    <w:rsid w:val="00FD1393"/>
    <w:rsid w:val="00FD3285"/>
    <w:rsid w:val="00FD7CCC"/>
    <w:rsid w:val="00FE17C7"/>
    <w:rsid w:val="00FE4868"/>
    <w:rsid w:val="00FE52EC"/>
    <w:rsid w:val="00FE5E59"/>
    <w:rsid w:val="00FF178F"/>
    <w:rsid w:val="00FF187B"/>
    <w:rsid w:val="00FF1B8B"/>
    <w:rsid w:val="00FF4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themeColor="text1"/>
        <w:sz w:val="18"/>
        <w:szCs w:val="18"/>
        <w:lang w:val="en-AU"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semiHidden="0" w:uiPriority="7"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4"/>
    <w:lsdException w:name="caption" w:uiPriority="0" w:qFormat="1"/>
    <w:lsdException w:name="footnote reference" w:uiPriority="0"/>
    <w:lsdException w:name="endnote reference" w:semiHidden="0" w:uiPriority="6" w:unhideWhenUsed="0"/>
    <w:lsdException w:name="endnote text" w:semiHidden="0" w:uiPriority="5" w:unhideWhenUsed="0"/>
    <w:lsdException w:name="List" w:semiHidden="0" w:uiPriority="2" w:unhideWhenUsed="0"/>
    <w:lsdException w:name="List Bullet" w:uiPriority="0" w:qFormat="1"/>
    <w:lsdException w:name="List Number" w:uiPriority="0" w:qFormat="1"/>
    <w:lsdException w:name="List Bullet 2" w:uiPriority="0" w:qFormat="1"/>
    <w:lsdException w:name="List Bullet 3" w:semiHidden="0" w:uiPriority="2" w:unhideWhenUsed="0" w:qFormat="1"/>
    <w:lsdException w:name="List Number 2" w:uiPriority="0" w:qFormat="1"/>
    <w:lsdException w:name="Title" w:semiHidden="0" w:uiPriority="10" w:unhideWhenUsed="0" w:qFormat="1"/>
    <w:lsdException w:name="Default Paragraph Font" w:uiPriority="0"/>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6B1D"/>
    <w:pPr>
      <w:spacing w:before="120" w:after="120"/>
    </w:pPr>
    <w:rPr>
      <w:rFonts w:ascii="Calibri" w:hAnsi="Calibri" w:cs="Arial"/>
      <w:color w:val="2F2F2F"/>
      <w:sz w:val="20"/>
      <w:szCs w:val="20"/>
    </w:rPr>
  </w:style>
  <w:style w:type="paragraph" w:styleId="Heading1">
    <w:name w:val="heading 1"/>
    <w:basedOn w:val="Normal"/>
    <w:next w:val="Normal"/>
    <w:link w:val="Heading1Char"/>
    <w:qFormat/>
    <w:rsid w:val="00690E4F"/>
    <w:pPr>
      <w:keepNext/>
      <w:spacing w:before="300" w:after="100" w:line="264" w:lineRule="auto"/>
      <w:outlineLvl w:val="0"/>
    </w:pPr>
    <w:rPr>
      <w:rFonts w:eastAsiaTheme="majorEastAsia"/>
      <w:b/>
      <w:bCs/>
      <w:color w:val="25909F"/>
      <w:kern w:val="32"/>
      <w:sz w:val="28"/>
      <w:szCs w:val="32"/>
    </w:rPr>
  </w:style>
  <w:style w:type="paragraph" w:styleId="Heading2">
    <w:name w:val="heading 2"/>
    <w:basedOn w:val="Normal"/>
    <w:next w:val="Normal"/>
    <w:link w:val="Heading2Char"/>
    <w:qFormat/>
    <w:rsid w:val="004C0E99"/>
    <w:pPr>
      <w:keepNext/>
      <w:spacing w:before="100" w:after="100"/>
      <w:outlineLvl w:val="1"/>
    </w:pPr>
    <w:rPr>
      <w:rFonts w:eastAsiaTheme="majorEastAsia"/>
      <w:b/>
      <w:bCs/>
      <w:iCs/>
      <w:color w:val="25909F"/>
      <w:sz w:val="24"/>
      <w:szCs w:val="28"/>
    </w:rPr>
  </w:style>
  <w:style w:type="paragraph" w:styleId="Heading3">
    <w:name w:val="heading 3"/>
    <w:basedOn w:val="Normal"/>
    <w:next w:val="Normal"/>
    <w:link w:val="Heading3Char"/>
    <w:qFormat/>
    <w:rsid w:val="00EA515C"/>
    <w:pPr>
      <w:keepNext/>
      <w:spacing w:before="240" w:after="60"/>
      <w:outlineLvl w:val="2"/>
    </w:pPr>
    <w:rPr>
      <w:rFonts w:eastAsiaTheme="majorEastAsia"/>
      <w:b/>
      <w:bCs/>
      <w:color w:val="25909F"/>
      <w:szCs w:val="26"/>
    </w:rPr>
  </w:style>
  <w:style w:type="paragraph" w:styleId="Heading4">
    <w:name w:val="heading 4"/>
    <w:basedOn w:val="Normal"/>
    <w:next w:val="Normal"/>
    <w:link w:val="Heading4Char"/>
    <w:unhideWhenUsed/>
    <w:qFormat/>
    <w:rsid w:val="00EA515C"/>
    <w:pPr>
      <w:keepNext/>
      <w:keepLines/>
      <w:spacing w:before="200" w:after="0"/>
      <w:outlineLvl w:val="3"/>
    </w:pPr>
    <w:rPr>
      <w:rFonts w:asciiTheme="majorHAnsi" w:eastAsiaTheme="majorEastAsia" w:hAnsiTheme="majorHAnsi" w:cstheme="majorBidi"/>
      <w:b/>
      <w:bCs/>
      <w:i/>
      <w:iCs/>
      <w:color w:val="646464"/>
    </w:rPr>
  </w:style>
  <w:style w:type="paragraph" w:styleId="Heading5">
    <w:name w:val="heading 5"/>
    <w:basedOn w:val="Normal"/>
    <w:next w:val="Normal"/>
    <w:link w:val="Heading5Char"/>
    <w:semiHidden/>
    <w:unhideWhenUsed/>
    <w:qFormat/>
    <w:rsid w:val="00B82F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51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D51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D51A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82FE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E4F"/>
    <w:rPr>
      <w:rFonts w:ascii="Calibri" w:eastAsiaTheme="majorEastAsia" w:hAnsi="Calibri" w:cs="Arial"/>
      <w:b/>
      <w:bCs/>
      <w:color w:val="25909F"/>
      <w:kern w:val="32"/>
      <w:sz w:val="28"/>
      <w:szCs w:val="32"/>
    </w:rPr>
  </w:style>
  <w:style w:type="paragraph" w:styleId="Title">
    <w:name w:val="Title"/>
    <w:basedOn w:val="Normal"/>
    <w:next w:val="Normal"/>
    <w:link w:val="TitleChar"/>
    <w:uiPriority w:val="10"/>
    <w:qFormat/>
    <w:rsid w:val="00EA515C"/>
    <w:pPr>
      <w:spacing w:before="100" w:after="0"/>
    </w:pPr>
    <w:rPr>
      <w:rFonts w:ascii="Arial Bold" w:eastAsiaTheme="majorEastAsia" w:hAnsi="Arial Bold"/>
      <w:b/>
      <w:noProof/>
      <w:color w:val="646464"/>
      <w:sz w:val="44"/>
      <w:szCs w:val="44"/>
    </w:rPr>
  </w:style>
  <w:style w:type="character" w:customStyle="1" w:styleId="TitleChar">
    <w:name w:val="Title Char"/>
    <w:basedOn w:val="DefaultParagraphFont"/>
    <w:link w:val="Title"/>
    <w:uiPriority w:val="10"/>
    <w:rsid w:val="00EA515C"/>
    <w:rPr>
      <w:rFonts w:ascii="Arial Bold" w:eastAsiaTheme="majorEastAsia" w:hAnsi="Arial Bold" w:cs="Arial"/>
      <w:b/>
      <w:noProof/>
      <w:color w:val="646464"/>
      <w:sz w:val="44"/>
      <w:szCs w:val="44"/>
    </w:rPr>
  </w:style>
  <w:style w:type="paragraph" w:styleId="ListBullet">
    <w:name w:val="List Bullet"/>
    <w:basedOn w:val="Normal"/>
    <w:link w:val="ListBulletChar"/>
    <w:qFormat/>
    <w:rsid w:val="00EA515C"/>
    <w:pPr>
      <w:numPr>
        <w:numId w:val="12"/>
      </w:numPr>
    </w:pPr>
  </w:style>
  <w:style w:type="paragraph" w:styleId="ListBullet2">
    <w:name w:val="List Bullet 2"/>
    <w:basedOn w:val="Normal"/>
    <w:qFormat/>
    <w:rsid w:val="00EA515C"/>
    <w:pPr>
      <w:numPr>
        <w:ilvl w:val="1"/>
        <w:numId w:val="12"/>
      </w:numPr>
    </w:pPr>
  </w:style>
  <w:style w:type="paragraph" w:styleId="TOC1">
    <w:name w:val="toc 1"/>
    <w:basedOn w:val="Normal"/>
    <w:next w:val="Normal"/>
    <w:autoRedefine/>
    <w:uiPriority w:val="39"/>
    <w:qFormat/>
    <w:rsid w:val="00CB49F9"/>
    <w:pPr>
      <w:tabs>
        <w:tab w:val="left" w:pos="426"/>
        <w:tab w:val="left" w:pos="8789"/>
      </w:tabs>
    </w:pPr>
    <w:rPr>
      <w:szCs w:val="21"/>
    </w:rPr>
  </w:style>
  <w:style w:type="character" w:customStyle="1" w:styleId="Heading2Char">
    <w:name w:val="Heading 2 Char"/>
    <w:basedOn w:val="DefaultParagraphFont"/>
    <w:link w:val="Heading2"/>
    <w:rsid w:val="004C0E99"/>
    <w:rPr>
      <w:rFonts w:ascii="Calibri" w:eastAsiaTheme="majorEastAsia" w:hAnsi="Calibri" w:cs="Arial"/>
      <w:b/>
      <w:bCs/>
      <w:iCs/>
      <w:color w:val="25909F"/>
      <w:sz w:val="24"/>
      <w:szCs w:val="28"/>
    </w:rPr>
  </w:style>
  <w:style w:type="character" w:customStyle="1" w:styleId="Heading3Char">
    <w:name w:val="Heading 3 Char"/>
    <w:basedOn w:val="DefaultParagraphFont"/>
    <w:link w:val="Heading3"/>
    <w:rsid w:val="00EA515C"/>
    <w:rPr>
      <w:rFonts w:ascii="Arial" w:eastAsiaTheme="majorEastAsia" w:hAnsi="Arial" w:cs="Arial"/>
      <w:b/>
      <w:bCs/>
      <w:color w:val="25909F"/>
      <w:sz w:val="20"/>
      <w:szCs w:val="26"/>
    </w:rPr>
  </w:style>
  <w:style w:type="character" w:customStyle="1" w:styleId="Heading4Char">
    <w:name w:val="Heading 4 Char"/>
    <w:basedOn w:val="DefaultParagraphFont"/>
    <w:link w:val="Heading4"/>
    <w:rsid w:val="00EA515C"/>
    <w:rPr>
      <w:rFonts w:asciiTheme="majorHAnsi" w:eastAsiaTheme="majorEastAsia" w:hAnsiTheme="majorHAnsi" w:cstheme="majorBidi"/>
      <w:b/>
      <w:bCs/>
      <w:i/>
      <w:iCs/>
      <w:color w:val="646464"/>
      <w:sz w:val="20"/>
      <w:szCs w:val="20"/>
    </w:rPr>
  </w:style>
  <w:style w:type="character" w:customStyle="1" w:styleId="Heading5Char">
    <w:name w:val="Heading 5 Char"/>
    <w:basedOn w:val="DefaultParagraphFont"/>
    <w:link w:val="Heading5"/>
    <w:semiHidden/>
    <w:rsid w:val="00B82FE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semiHidden/>
    <w:rsid w:val="003D51A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semiHidden/>
    <w:rsid w:val="003D51A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semiHidden/>
    <w:rsid w:val="003D51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82FEB"/>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3D51A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D51A0"/>
    <w:rPr>
      <w:rFonts w:asciiTheme="majorHAnsi" w:eastAsiaTheme="majorEastAsia" w:hAnsiTheme="majorHAnsi" w:cstheme="majorBidi"/>
      <w:bCs/>
      <w:i/>
      <w:iCs/>
      <w:color w:val="4F81BD" w:themeColor="accent1"/>
      <w:spacing w:val="15"/>
      <w:sz w:val="24"/>
      <w:szCs w:val="24"/>
    </w:rPr>
  </w:style>
  <w:style w:type="character" w:styleId="Strong">
    <w:name w:val="Strong"/>
    <w:uiPriority w:val="22"/>
    <w:rsid w:val="003D51A0"/>
    <w:rPr>
      <w:b/>
      <w:bCs/>
    </w:rPr>
  </w:style>
  <w:style w:type="character" w:styleId="Emphasis">
    <w:name w:val="Emphasis"/>
    <w:basedOn w:val="DefaultParagraphFont"/>
    <w:uiPriority w:val="20"/>
    <w:rsid w:val="003D51A0"/>
    <w:rPr>
      <w:i/>
      <w:iCs/>
    </w:rPr>
  </w:style>
  <w:style w:type="paragraph" w:styleId="NoSpacing">
    <w:name w:val="No Spacing"/>
    <w:basedOn w:val="Normal"/>
    <w:link w:val="NoSpacingChar"/>
    <w:uiPriority w:val="1"/>
    <w:rsid w:val="00B82FEB"/>
  </w:style>
  <w:style w:type="character" w:customStyle="1" w:styleId="NoSpacingChar">
    <w:name w:val="No Spacing Char"/>
    <w:basedOn w:val="DefaultParagraphFont"/>
    <w:link w:val="NoSpacing"/>
    <w:uiPriority w:val="1"/>
    <w:rsid w:val="003D51A0"/>
    <w:rPr>
      <w:rFonts w:ascii="Arial" w:hAnsi="Arial" w:cs="Arial"/>
      <w:bCs/>
      <w:sz w:val="20"/>
      <w:szCs w:val="24"/>
    </w:rPr>
  </w:style>
  <w:style w:type="paragraph" w:styleId="ListParagraph">
    <w:name w:val="List Paragraph"/>
    <w:basedOn w:val="Normal"/>
    <w:uiPriority w:val="34"/>
    <w:rsid w:val="00B82FEB"/>
    <w:pPr>
      <w:numPr>
        <w:numId w:val="7"/>
      </w:numPr>
      <w:tabs>
        <w:tab w:val="left" w:pos="284"/>
        <w:tab w:val="left" w:pos="851"/>
        <w:tab w:val="left" w:pos="1134"/>
        <w:tab w:val="left" w:pos="1418"/>
      </w:tabs>
    </w:pPr>
    <w:rPr>
      <w:lang w:eastAsia="en-AU"/>
    </w:rPr>
  </w:style>
  <w:style w:type="paragraph" w:styleId="Quote">
    <w:name w:val="Quote"/>
    <w:basedOn w:val="Normal"/>
    <w:next w:val="Normal"/>
    <w:link w:val="QuoteChar"/>
    <w:uiPriority w:val="29"/>
    <w:rsid w:val="003D51A0"/>
    <w:rPr>
      <w:i/>
      <w:iCs/>
      <w:color w:val="000000" w:themeColor="text1"/>
    </w:rPr>
  </w:style>
  <w:style w:type="character" w:customStyle="1" w:styleId="QuoteChar">
    <w:name w:val="Quote Char"/>
    <w:basedOn w:val="DefaultParagraphFont"/>
    <w:link w:val="Quote"/>
    <w:uiPriority w:val="29"/>
    <w:rsid w:val="003D51A0"/>
    <w:rPr>
      <w:rFonts w:ascii="Arial" w:hAnsi="Arial" w:cs="Arial"/>
      <w:bCs/>
      <w:i/>
      <w:iCs/>
      <w:color w:val="000000" w:themeColor="text1"/>
      <w:sz w:val="20"/>
      <w:szCs w:val="24"/>
    </w:rPr>
  </w:style>
  <w:style w:type="paragraph" w:styleId="IntenseQuote">
    <w:name w:val="Intense Quote"/>
    <w:basedOn w:val="Normal"/>
    <w:next w:val="Normal"/>
    <w:link w:val="IntenseQuoteChar"/>
    <w:uiPriority w:val="30"/>
    <w:rsid w:val="003D51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51A0"/>
    <w:rPr>
      <w:rFonts w:ascii="Arial" w:hAnsi="Arial" w:cs="Arial"/>
      <w:b/>
      <w:i/>
      <w:iCs/>
      <w:color w:val="4F81BD" w:themeColor="accent1"/>
      <w:sz w:val="20"/>
      <w:szCs w:val="24"/>
    </w:rPr>
  </w:style>
  <w:style w:type="character" w:styleId="SubtleEmphasis">
    <w:name w:val="Subtle Emphasis"/>
    <w:basedOn w:val="DefaultParagraphFont"/>
    <w:uiPriority w:val="19"/>
    <w:rsid w:val="003D51A0"/>
    <w:rPr>
      <w:i/>
      <w:iCs/>
      <w:color w:val="808080" w:themeColor="text1" w:themeTint="7F"/>
    </w:rPr>
  </w:style>
  <w:style w:type="character" w:styleId="IntenseEmphasis">
    <w:name w:val="Intense Emphasis"/>
    <w:uiPriority w:val="21"/>
    <w:rsid w:val="003D51A0"/>
    <w:rPr>
      <w:b/>
      <w:bCs/>
      <w:i/>
      <w:iCs/>
      <w:color w:val="4F81BD" w:themeColor="accent1"/>
    </w:rPr>
  </w:style>
  <w:style w:type="character" w:styleId="SubtleReference">
    <w:name w:val="Subtle Reference"/>
    <w:basedOn w:val="DefaultParagraphFont"/>
    <w:uiPriority w:val="31"/>
    <w:rsid w:val="003D51A0"/>
    <w:rPr>
      <w:smallCaps/>
      <w:color w:val="C0504D" w:themeColor="accent2"/>
      <w:u w:val="single"/>
    </w:rPr>
  </w:style>
  <w:style w:type="character" w:styleId="IntenseReference">
    <w:name w:val="Intense Reference"/>
    <w:basedOn w:val="DefaultParagraphFont"/>
    <w:uiPriority w:val="32"/>
    <w:rsid w:val="003D51A0"/>
    <w:rPr>
      <w:b/>
      <w:bCs/>
      <w:smallCaps/>
      <w:color w:val="C0504D" w:themeColor="accent2"/>
      <w:spacing w:val="5"/>
      <w:u w:val="single"/>
    </w:rPr>
  </w:style>
  <w:style w:type="character" w:styleId="BookTitle">
    <w:name w:val="Book Title"/>
    <w:basedOn w:val="DefaultParagraphFont"/>
    <w:uiPriority w:val="33"/>
    <w:rsid w:val="003D51A0"/>
    <w:rPr>
      <w:b/>
      <w:bCs/>
      <w:smallCaps/>
      <w:spacing w:val="5"/>
    </w:rPr>
  </w:style>
  <w:style w:type="paragraph" w:styleId="TOCHeading">
    <w:name w:val="TOC Heading"/>
    <w:basedOn w:val="Heading1"/>
    <w:next w:val="Normal"/>
    <w:uiPriority w:val="39"/>
    <w:semiHidden/>
    <w:unhideWhenUsed/>
    <w:qFormat/>
    <w:rsid w:val="003D51A0"/>
    <w:pPr>
      <w:keepLines/>
      <w:spacing w:before="480" w:after="0"/>
      <w:outlineLvl w:val="9"/>
    </w:pPr>
    <w:rPr>
      <w:rFonts w:asciiTheme="majorHAnsi" w:hAnsiTheme="majorHAnsi" w:cstheme="majorBidi"/>
      <w:color w:val="365F91" w:themeColor="accent1" w:themeShade="BF"/>
      <w:kern w:val="0"/>
      <w:szCs w:val="28"/>
    </w:rPr>
  </w:style>
  <w:style w:type="paragraph" w:styleId="Caption">
    <w:name w:val="caption"/>
    <w:basedOn w:val="Normal"/>
    <w:next w:val="Normal"/>
    <w:semiHidden/>
    <w:unhideWhenUsed/>
    <w:qFormat/>
    <w:rsid w:val="003D51A0"/>
    <w:pPr>
      <w:spacing w:before="0" w:after="200" w:line="240" w:lineRule="auto"/>
    </w:pPr>
    <w:rPr>
      <w:b/>
      <w:bCs/>
      <w:color w:val="4F81BD" w:themeColor="accent1"/>
      <w:sz w:val="18"/>
      <w:szCs w:val="18"/>
    </w:rPr>
  </w:style>
  <w:style w:type="table" w:styleId="TableGrid">
    <w:name w:val="Table Grid"/>
    <w:basedOn w:val="TableNormal"/>
    <w:uiPriority w:val="59"/>
    <w:rsid w:val="003D51A0"/>
    <w:pPr>
      <w:spacing w:line="240" w:lineRule="auto"/>
    </w:pPr>
    <w:rPr>
      <w:sz w:val="19"/>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style>
  <w:style w:type="paragraph" w:customStyle="1" w:styleId="TinyTot">
    <w:name w:val="Tiny Tot"/>
    <w:basedOn w:val="Normal"/>
    <w:rsid w:val="003D51A0"/>
    <w:pPr>
      <w:spacing w:after="0" w:line="240" w:lineRule="auto"/>
    </w:pPr>
    <w:rPr>
      <w:sz w:val="4"/>
      <w:szCs w:val="4"/>
      <w:lang w:eastAsia="en-AU"/>
    </w:rPr>
  </w:style>
  <w:style w:type="paragraph" w:styleId="ListBullet3">
    <w:name w:val="List Bullet 3"/>
    <w:basedOn w:val="Normal"/>
    <w:uiPriority w:val="2"/>
    <w:rsid w:val="003D51A0"/>
    <w:pPr>
      <w:numPr>
        <w:ilvl w:val="2"/>
        <w:numId w:val="12"/>
      </w:numPr>
    </w:pPr>
  </w:style>
  <w:style w:type="paragraph" w:styleId="Footer">
    <w:name w:val="footer"/>
    <w:basedOn w:val="Normal"/>
    <w:link w:val="FooterChar"/>
    <w:uiPriority w:val="99"/>
    <w:rsid w:val="009122C5"/>
    <w:pPr>
      <w:tabs>
        <w:tab w:val="center" w:pos="4513"/>
        <w:tab w:val="right" w:pos="9026"/>
      </w:tabs>
      <w:spacing w:after="0" w:line="240" w:lineRule="auto"/>
    </w:pPr>
    <w:rPr>
      <w:rFonts w:cs="Times New Roman"/>
      <w:sz w:val="17"/>
    </w:rPr>
  </w:style>
  <w:style w:type="character" w:customStyle="1" w:styleId="FooterChar">
    <w:name w:val="Footer Char"/>
    <w:basedOn w:val="DefaultParagraphFont"/>
    <w:link w:val="Footer"/>
    <w:uiPriority w:val="99"/>
    <w:rsid w:val="009122C5"/>
    <w:rPr>
      <w:rFonts w:eastAsia="Times New Roman" w:cs="Times New Roman"/>
      <w:sz w:val="17"/>
      <w:szCs w:val="20"/>
    </w:rPr>
  </w:style>
  <w:style w:type="character" w:styleId="Hyperlink">
    <w:name w:val="Hyperlink"/>
    <w:basedOn w:val="DefaultParagraphFont"/>
    <w:uiPriority w:val="99"/>
    <w:qFormat/>
    <w:rsid w:val="004C0E99"/>
    <w:rPr>
      <w:rFonts w:ascii="Calibri" w:hAnsi="Calibri"/>
      <w:color w:val="0000FF"/>
      <w:sz w:val="20"/>
      <w:u w:val="single"/>
    </w:rPr>
  </w:style>
  <w:style w:type="character" w:customStyle="1" w:styleId="ListBulletChar">
    <w:name w:val="List Bullet Char"/>
    <w:link w:val="ListBullet"/>
    <w:rsid w:val="009122C5"/>
    <w:rPr>
      <w:rFonts w:ascii="Arial" w:hAnsi="Arial" w:cs="Arial"/>
      <w:color w:val="2F2F2F"/>
      <w:sz w:val="20"/>
      <w:szCs w:val="20"/>
    </w:rPr>
  </w:style>
  <w:style w:type="paragraph" w:styleId="FootnoteText">
    <w:name w:val="footnote text"/>
    <w:basedOn w:val="Normal"/>
    <w:link w:val="FootnoteTextChar"/>
    <w:qFormat/>
    <w:rsid w:val="003D51A0"/>
    <w:pPr>
      <w:tabs>
        <w:tab w:val="left" w:pos="284"/>
      </w:tabs>
      <w:spacing w:after="0" w:line="240" w:lineRule="auto"/>
      <w:ind w:left="284" w:hanging="284"/>
    </w:pPr>
    <w:rPr>
      <w:color w:val="808080" w:themeColor="background1" w:themeShade="80"/>
      <w:sz w:val="18"/>
    </w:rPr>
  </w:style>
  <w:style w:type="character" w:customStyle="1" w:styleId="FootnoteTextChar">
    <w:name w:val="Footnote Text Char"/>
    <w:basedOn w:val="DefaultParagraphFont"/>
    <w:link w:val="FootnoteText"/>
    <w:rsid w:val="003D51A0"/>
    <w:rPr>
      <w:color w:val="808080" w:themeColor="background1" w:themeShade="80"/>
      <w:sz w:val="18"/>
      <w:szCs w:val="20"/>
    </w:rPr>
  </w:style>
  <w:style w:type="paragraph" w:styleId="Header">
    <w:name w:val="header"/>
    <w:basedOn w:val="Normal"/>
    <w:link w:val="HeaderChar"/>
    <w:uiPriority w:val="4"/>
    <w:rsid w:val="003D51A0"/>
    <w:pPr>
      <w:tabs>
        <w:tab w:val="center" w:pos="4513"/>
        <w:tab w:val="right" w:pos="9026"/>
      </w:tabs>
      <w:spacing w:after="0" w:line="240" w:lineRule="auto"/>
    </w:pPr>
  </w:style>
  <w:style w:type="character" w:customStyle="1" w:styleId="HeaderChar">
    <w:name w:val="Header Char"/>
    <w:basedOn w:val="DefaultParagraphFont"/>
    <w:link w:val="Header"/>
    <w:uiPriority w:val="4"/>
    <w:rsid w:val="003D51A0"/>
    <w:rPr>
      <w:sz w:val="19"/>
    </w:rPr>
  </w:style>
  <w:style w:type="character" w:styleId="FootnoteReference">
    <w:name w:val="footnote reference"/>
    <w:basedOn w:val="DefaultParagraphFont"/>
    <w:rsid w:val="003D51A0"/>
    <w:rPr>
      <w:vertAlign w:val="superscript"/>
    </w:rPr>
  </w:style>
  <w:style w:type="paragraph" w:styleId="BalloonText">
    <w:name w:val="Balloon Text"/>
    <w:basedOn w:val="Normal"/>
    <w:link w:val="BalloonTextChar"/>
    <w:uiPriority w:val="99"/>
    <w:semiHidden/>
    <w:unhideWhenUsed/>
    <w:rsid w:val="003D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A0"/>
    <w:rPr>
      <w:rFonts w:ascii="Tahoma" w:hAnsi="Tahoma" w:cs="Tahoma"/>
      <w:sz w:val="16"/>
      <w:szCs w:val="16"/>
    </w:rPr>
  </w:style>
  <w:style w:type="paragraph" w:customStyle="1" w:styleId="Banner">
    <w:name w:val="Banner"/>
    <w:basedOn w:val="Title"/>
    <w:uiPriority w:val="4"/>
    <w:rsid w:val="00207AB4"/>
    <w:pPr>
      <w:shd w:val="clear" w:color="auto" w:fill="4F81BD" w:themeFill="accent1"/>
      <w:spacing w:before="300"/>
      <w:outlineLvl w:val="0"/>
    </w:pPr>
    <w:rPr>
      <w:rFonts w:cs="Times New Roman"/>
      <w:b w:val="0"/>
      <w:bCs/>
      <w:color w:val="FFFFFF" w:themeColor="background1"/>
    </w:rPr>
  </w:style>
  <w:style w:type="paragraph" w:customStyle="1" w:styleId="AlphaNumbering">
    <w:name w:val="Alpha Numbering"/>
    <w:basedOn w:val="Normal"/>
    <w:uiPriority w:val="3"/>
    <w:rsid w:val="003D51A0"/>
    <w:pPr>
      <w:numPr>
        <w:numId w:val="5"/>
      </w:numPr>
      <w:tabs>
        <w:tab w:val="left" w:pos="284"/>
        <w:tab w:val="left" w:pos="851"/>
      </w:tabs>
    </w:pPr>
    <w:rPr>
      <w:rFonts w:cs="Times New Roman"/>
      <w:color w:val="1C1C1C"/>
      <w:szCs w:val="18"/>
      <w:lang w:eastAsia="en-AU"/>
    </w:rPr>
  </w:style>
  <w:style w:type="paragraph" w:styleId="BodyText">
    <w:name w:val="Body Text"/>
    <w:basedOn w:val="Normal"/>
    <w:link w:val="BodyTextChar"/>
    <w:qFormat/>
    <w:rsid w:val="00EA515C"/>
    <w:pPr>
      <w:spacing w:before="180" w:after="180"/>
    </w:pPr>
  </w:style>
  <w:style w:type="character" w:customStyle="1" w:styleId="BodyTextChar">
    <w:name w:val="Body Text Char"/>
    <w:basedOn w:val="DefaultParagraphFont"/>
    <w:link w:val="BodyText"/>
    <w:rsid w:val="003D51A0"/>
    <w:rPr>
      <w:rFonts w:ascii="Arial" w:hAnsi="Arial" w:cs="Arial"/>
      <w:color w:val="2F2F2F"/>
      <w:sz w:val="20"/>
      <w:szCs w:val="20"/>
    </w:rPr>
  </w:style>
  <w:style w:type="paragraph" w:customStyle="1" w:styleId="Indent-hanging1cmpolicyprinciples">
    <w:name w:val="Indent - hanging 1 cm (policy principles)"/>
    <w:basedOn w:val="Normal"/>
    <w:rsid w:val="00995988"/>
    <w:pPr>
      <w:ind w:left="567" w:hanging="567"/>
    </w:pPr>
    <w:rPr>
      <w:rFonts w:eastAsiaTheme="majorEastAsia" w:cs="Times New Roman"/>
      <w:sz w:val="18"/>
      <w:szCs w:val="18"/>
      <w:lang w:eastAsia="en-AU"/>
    </w:rPr>
  </w:style>
  <w:style w:type="paragraph" w:customStyle="1" w:styleId="i-hanging05cmpolicyprinciples">
    <w:name w:val="i - hanging 0.5 cm (policy principles)"/>
    <w:basedOn w:val="Indent-hanging1cmpolicyprinciples"/>
    <w:rsid w:val="00995988"/>
    <w:pPr>
      <w:tabs>
        <w:tab w:val="left" w:pos="284"/>
      </w:tabs>
    </w:pPr>
  </w:style>
  <w:style w:type="paragraph" w:customStyle="1" w:styleId="Indent-05cmPOLICY">
    <w:name w:val="Indent - 0.5 cm (POLICY)"/>
    <w:basedOn w:val="Normal"/>
    <w:rsid w:val="00D25E35"/>
    <w:rPr>
      <w:rFonts w:eastAsiaTheme="majorEastAsia" w:cs="Times New Roman"/>
      <w:color w:val="1C1C1C"/>
      <w:sz w:val="18"/>
      <w:szCs w:val="18"/>
      <w:lang w:eastAsia="en-AU"/>
    </w:rPr>
  </w:style>
  <w:style w:type="paragraph" w:customStyle="1" w:styleId="Indent-05hangingPM">
    <w:name w:val="Indent - 0.5 hanging (PM)"/>
    <w:basedOn w:val="Normal"/>
    <w:rsid w:val="00F81E06"/>
    <w:pPr>
      <w:tabs>
        <w:tab w:val="left" w:pos="284"/>
      </w:tabs>
      <w:ind w:left="284" w:hanging="284"/>
    </w:pPr>
    <w:rPr>
      <w:rFonts w:eastAsiaTheme="majorEastAsia" w:cs="Times New Roman"/>
      <w:color w:val="1C1C1C"/>
      <w:sz w:val="18"/>
      <w:szCs w:val="18"/>
      <w:lang w:eastAsia="en-AU"/>
    </w:rPr>
  </w:style>
  <w:style w:type="paragraph" w:customStyle="1" w:styleId="IN-1">
    <w:name w:val="IN-1"/>
    <w:basedOn w:val="Normal"/>
    <w:uiPriority w:val="1"/>
    <w:rsid w:val="003D51A0"/>
    <w:pPr>
      <w:ind w:left="567" w:hanging="567"/>
    </w:pPr>
    <w:rPr>
      <w:rFonts w:eastAsiaTheme="majorEastAsia" w:cs="Times New Roman"/>
      <w:sz w:val="18"/>
      <w:szCs w:val="18"/>
      <w:lang w:eastAsia="en-AU"/>
    </w:rPr>
  </w:style>
  <w:style w:type="paragraph" w:customStyle="1" w:styleId="in-05">
    <w:name w:val="in-0.5"/>
    <w:basedOn w:val="IN-1"/>
    <w:uiPriority w:val="1"/>
    <w:rsid w:val="003D51A0"/>
    <w:pPr>
      <w:tabs>
        <w:tab w:val="left" w:pos="284"/>
      </w:tabs>
    </w:pPr>
  </w:style>
  <w:style w:type="paragraph" w:customStyle="1" w:styleId="INhang-05">
    <w:name w:val="INhang-0.5"/>
    <w:basedOn w:val="Normal"/>
    <w:uiPriority w:val="1"/>
    <w:rsid w:val="003D51A0"/>
    <w:rPr>
      <w:rFonts w:eastAsiaTheme="majorEastAsia" w:cs="Times New Roman"/>
      <w:color w:val="1C1C1C"/>
      <w:sz w:val="18"/>
      <w:szCs w:val="18"/>
      <w:lang w:eastAsia="en-AU"/>
    </w:rPr>
  </w:style>
  <w:style w:type="paragraph" w:customStyle="1" w:styleId="IN-050">
    <w:name w:val="IN-0.5"/>
    <w:basedOn w:val="Normal"/>
    <w:uiPriority w:val="1"/>
    <w:rsid w:val="003D51A0"/>
    <w:pPr>
      <w:tabs>
        <w:tab w:val="left" w:pos="284"/>
      </w:tabs>
      <w:ind w:left="284" w:hanging="284"/>
    </w:pPr>
    <w:rPr>
      <w:rFonts w:eastAsiaTheme="majorEastAsia" w:cs="Times New Roman"/>
      <w:color w:val="1C1C1C"/>
      <w:sz w:val="18"/>
      <w:szCs w:val="18"/>
      <w:lang w:eastAsia="en-AU"/>
    </w:rPr>
  </w:style>
  <w:style w:type="paragraph" w:styleId="EndnoteText">
    <w:name w:val="endnote text"/>
    <w:basedOn w:val="Normal"/>
    <w:link w:val="EndnoteTextChar"/>
    <w:uiPriority w:val="5"/>
    <w:rsid w:val="003D51A0"/>
    <w:pPr>
      <w:spacing w:after="0" w:line="240" w:lineRule="auto"/>
    </w:pPr>
    <w:rPr>
      <w:color w:val="808080" w:themeColor="background1" w:themeShade="80"/>
    </w:rPr>
  </w:style>
  <w:style w:type="character" w:customStyle="1" w:styleId="EndnoteTextChar">
    <w:name w:val="Endnote Text Char"/>
    <w:basedOn w:val="DefaultParagraphFont"/>
    <w:link w:val="EndnoteText"/>
    <w:uiPriority w:val="5"/>
    <w:rsid w:val="003D51A0"/>
    <w:rPr>
      <w:color w:val="808080" w:themeColor="background1" w:themeShade="80"/>
      <w:sz w:val="20"/>
      <w:szCs w:val="20"/>
    </w:rPr>
  </w:style>
  <w:style w:type="paragraph" w:customStyle="1" w:styleId="Blueboldnormal">
    <w:name w:val="Blue bold normal"/>
    <w:basedOn w:val="Normal"/>
    <w:rsid w:val="003D51A0"/>
    <w:rPr>
      <w:b/>
      <w:color w:val="4F81BD" w:themeColor="accent1"/>
    </w:rPr>
  </w:style>
  <w:style w:type="paragraph" w:styleId="List">
    <w:name w:val="List"/>
    <w:basedOn w:val="Normal"/>
    <w:uiPriority w:val="2"/>
    <w:rsid w:val="003D51A0"/>
    <w:pPr>
      <w:ind w:left="283" w:hanging="283"/>
      <w:contextualSpacing/>
    </w:pPr>
  </w:style>
  <w:style w:type="character" w:customStyle="1" w:styleId="Emphasis-Italics">
    <w:name w:val="Emphasis - Italics"/>
    <w:rsid w:val="00B82FEB"/>
    <w:rPr>
      <w:i/>
    </w:rPr>
  </w:style>
  <w:style w:type="character" w:customStyle="1" w:styleId="Emphasis-Bold">
    <w:name w:val="Emphasis - Bold"/>
    <w:rsid w:val="00B82FEB"/>
    <w:rPr>
      <w:rFonts w:ascii="Arial" w:hAnsi="Arial" w:cs="Arial"/>
      <w:b/>
      <w:color w:val="000000"/>
    </w:rPr>
  </w:style>
  <w:style w:type="paragraph" w:customStyle="1" w:styleId="Bullet1">
    <w:name w:val="Bullet 1"/>
    <w:basedOn w:val="Normal"/>
    <w:rsid w:val="00B82FEB"/>
    <w:pPr>
      <w:tabs>
        <w:tab w:val="num" w:pos="1077"/>
      </w:tabs>
      <w:spacing w:before="80" w:after="80" w:line="240" w:lineRule="auto"/>
      <w:ind w:left="1077" w:hanging="283"/>
    </w:pPr>
    <w:rPr>
      <w:rFonts w:cs="Calibri"/>
      <w:bCs/>
      <w:sz w:val="22"/>
      <w:lang w:eastAsia="en-AU"/>
    </w:rPr>
  </w:style>
  <w:style w:type="paragraph" w:customStyle="1" w:styleId="DEPIBullet">
    <w:name w:val="DEPI_Bullet"/>
    <w:link w:val="DEPIBulletChar"/>
    <w:rsid w:val="00B82FEB"/>
    <w:pPr>
      <w:tabs>
        <w:tab w:val="num" w:pos="284"/>
      </w:tabs>
      <w:spacing w:before="60" w:after="60" w:line="260" w:lineRule="atLeast"/>
      <w:ind w:left="284" w:hanging="284"/>
    </w:pPr>
    <w:rPr>
      <w:rFonts w:ascii="Arial" w:hAnsi="Arial" w:cs="Arial"/>
      <w:szCs w:val="24"/>
    </w:rPr>
  </w:style>
  <w:style w:type="character" w:customStyle="1" w:styleId="DEPIBulletChar">
    <w:name w:val="DEPI_Bullet Char"/>
    <w:basedOn w:val="DefaultParagraphFont"/>
    <w:link w:val="DEPIBullet"/>
    <w:rsid w:val="00B82FEB"/>
    <w:rPr>
      <w:rFonts w:ascii="Arial" w:eastAsia="Times New Roman" w:hAnsi="Arial" w:cs="Arial"/>
      <w:sz w:val="18"/>
      <w:szCs w:val="24"/>
    </w:rPr>
  </w:style>
  <w:style w:type="paragraph" w:styleId="ListNumber">
    <w:name w:val="List Number"/>
    <w:basedOn w:val="Normal"/>
    <w:qFormat/>
    <w:rsid w:val="00EA515C"/>
    <w:pPr>
      <w:numPr>
        <w:numId w:val="14"/>
      </w:numPr>
    </w:pPr>
    <w:rPr>
      <w:b/>
      <w:color w:val="F68F35"/>
    </w:rPr>
  </w:style>
  <w:style w:type="paragraph" w:styleId="ListNumber2">
    <w:name w:val="List Number 2"/>
    <w:basedOn w:val="Normal"/>
    <w:qFormat/>
    <w:rsid w:val="00EA515C"/>
    <w:pPr>
      <w:numPr>
        <w:ilvl w:val="1"/>
        <w:numId w:val="14"/>
      </w:numPr>
    </w:pPr>
  </w:style>
  <w:style w:type="character" w:styleId="FollowedHyperlink">
    <w:name w:val="FollowedHyperlink"/>
    <w:basedOn w:val="DefaultParagraphFont"/>
    <w:uiPriority w:val="99"/>
    <w:semiHidden/>
    <w:unhideWhenUsed/>
    <w:rsid w:val="002559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themeColor="text1"/>
        <w:sz w:val="18"/>
        <w:szCs w:val="18"/>
        <w:lang w:val="en-AU"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semiHidden="0" w:uiPriority="7"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4"/>
    <w:lsdException w:name="caption" w:uiPriority="0" w:qFormat="1"/>
    <w:lsdException w:name="footnote reference" w:uiPriority="0"/>
    <w:lsdException w:name="endnote reference" w:semiHidden="0" w:uiPriority="6" w:unhideWhenUsed="0"/>
    <w:lsdException w:name="endnote text" w:semiHidden="0" w:uiPriority="5" w:unhideWhenUsed="0"/>
    <w:lsdException w:name="List" w:semiHidden="0" w:uiPriority="2" w:unhideWhenUsed="0"/>
    <w:lsdException w:name="List Bullet" w:uiPriority="0" w:qFormat="1"/>
    <w:lsdException w:name="List Number" w:uiPriority="0" w:qFormat="1"/>
    <w:lsdException w:name="List Bullet 2" w:uiPriority="0" w:qFormat="1"/>
    <w:lsdException w:name="List Bullet 3" w:semiHidden="0" w:uiPriority="2" w:unhideWhenUsed="0" w:qFormat="1"/>
    <w:lsdException w:name="List Number 2" w:uiPriority="0" w:qFormat="1"/>
    <w:lsdException w:name="Title" w:semiHidden="0" w:uiPriority="10" w:unhideWhenUsed="0" w:qFormat="1"/>
    <w:lsdException w:name="Default Paragraph Font" w:uiPriority="0"/>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6B1D"/>
    <w:pPr>
      <w:spacing w:before="120" w:after="120"/>
    </w:pPr>
    <w:rPr>
      <w:rFonts w:ascii="Calibri" w:hAnsi="Calibri" w:cs="Arial"/>
      <w:color w:val="2F2F2F"/>
      <w:sz w:val="20"/>
      <w:szCs w:val="20"/>
    </w:rPr>
  </w:style>
  <w:style w:type="paragraph" w:styleId="Heading1">
    <w:name w:val="heading 1"/>
    <w:basedOn w:val="Normal"/>
    <w:next w:val="Normal"/>
    <w:link w:val="Heading1Char"/>
    <w:qFormat/>
    <w:rsid w:val="00690E4F"/>
    <w:pPr>
      <w:keepNext/>
      <w:spacing w:before="300" w:after="100" w:line="264" w:lineRule="auto"/>
      <w:outlineLvl w:val="0"/>
    </w:pPr>
    <w:rPr>
      <w:rFonts w:eastAsiaTheme="majorEastAsia"/>
      <w:b/>
      <w:bCs/>
      <w:color w:val="25909F"/>
      <w:kern w:val="32"/>
      <w:sz w:val="28"/>
      <w:szCs w:val="32"/>
    </w:rPr>
  </w:style>
  <w:style w:type="paragraph" w:styleId="Heading2">
    <w:name w:val="heading 2"/>
    <w:basedOn w:val="Normal"/>
    <w:next w:val="Normal"/>
    <w:link w:val="Heading2Char"/>
    <w:qFormat/>
    <w:rsid w:val="004C0E99"/>
    <w:pPr>
      <w:keepNext/>
      <w:spacing w:before="100" w:after="100"/>
      <w:outlineLvl w:val="1"/>
    </w:pPr>
    <w:rPr>
      <w:rFonts w:eastAsiaTheme="majorEastAsia"/>
      <w:b/>
      <w:bCs/>
      <w:iCs/>
      <w:color w:val="25909F"/>
      <w:sz w:val="24"/>
      <w:szCs w:val="28"/>
    </w:rPr>
  </w:style>
  <w:style w:type="paragraph" w:styleId="Heading3">
    <w:name w:val="heading 3"/>
    <w:basedOn w:val="Normal"/>
    <w:next w:val="Normal"/>
    <w:link w:val="Heading3Char"/>
    <w:qFormat/>
    <w:rsid w:val="00EA515C"/>
    <w:pPr>
      <w:keepNext/>
      <w:spacing w:before="240" w:after="60"/>
      <w:outlineLvl w:val="2"/>
    </w:pPr>
    <w:rPr>
      <w:rFonts w:eastAsiaTheme="majorEastAsia"/>
      <w:b/>
      <w:bCs/>
      <w:color w:val="25909F"/>
      <w:szCs w:val="26"/>
    </w:rPr>
  </w:style>
  <w:style w:type="paragraph" w:styleId="Heading4">
    <w:name w:val="heading 4"/>
    <w:basedOn w:val="Normal"/>
    <w:next w:val="Normal"/>
    <w:link w:val="Heading4Char"/>
    <w:unhideWhenUsed/>
    <w:qFormat/>
    <w:rsid w:val="00EA515C"/>
    <w:pPr>
      <w:keepNext/>
      <w:keepLines/>
      <w:spacing w:before="200" w:after="0"/>
      <w:outlineLvl w:val="3"/>
    </w:pPr>
    <w:rPr>
      <w:rFonts w:asciiTheme="majorHAnsi" w:eastAsiaTheme="majorEastAsia" w:hAnsiTheme="majorHAnsi" w:cstheme="majorBidi"/>
      <w:b/>
      <w:bCs/>
      <w:i/>
      <w:iCs/>
      <w:color w:val="646464"/>
    </w:rPr>
  </w:style>
  <w:style w:type="paragraph" w:styleId="Heading5">
    <w:name w:val="heading 5"/>
    <w:basedOn w:val="Normal"/>
    <w:next w:val="Normal"/>
    <w:link w:val="Heading5Char"/>
    <w:semiHidden/>
    <w:unhideWhenUsed/>
    <w:qFormat/>
    <w:rsid w:val="00B82F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51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D51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D51A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82FE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E4F"/>
    <w:rPr>
      <w:rFonts w:ascii="Calibri" w:eastAsiaTheme="majorEastAsia" w:hAnsi="Calibri" w:cs="Arial"/>
      <w:b/>
      <w:bCs/>
      <w:color w:val="25909F"/>
      <w:kern w:val="32"/>
      <w:sz w:val="28"/>
      <w:szCs w:val="32"/>
    </w:rPr>
  </w:style>
  <w:style w:type="paragraph" w:styleId="Title">
    <w:name w:val="Title"/>
    <w:basedOn w:val="Normal"/>
    <w:next w:val="Normal"/>
    <w:link w:val="TitleChar"/>
    <w:uiPriority w:val="10"/>
    <w:qFormat/>
    <w:rsid w:val="00EA515C"/>
    <w:pPr>
      <w:spacing w:before="100" w:after="0"/>
    </w:pPr>
    <w:rPr>
      <w:rFonts w:ascii="Arial Bold" w:eastAsiaTheme="majorEastAsia" w:hAnsi="Arial Bold"/>
      <w:b/>
      <w:noProof/>
      <w:color w:val="646464"/>
      <w:sz w:val="44"/>
      <w:szCs w:val="44"/>
    </w:rPr>
  </w:style>
  <w:style w:type="character" w:customStyle="1" w:styleId="TitleChar">
    <w:name w:val="Title Char"/>
    <w:basedOn w:val="DefaultParagraphFont"/>
    <w:link w:val="Title"/>
    <w:uiPriority w:val="10"/>
    <w:rsid w:val="00EA515C"/>
    <w:rPr>
      <w:rFonts w:ascii="Arial Bold" w:eastAsiaTheme="majorEastAsia" w:hAnsi="Arial Bold" w:cs="Arial"/>
      <w:b/>
      <w:noProof/>
      <w:color w:val="646464"/>
      <w:sz w:val="44"/>
      <w:szCs w:val="44"/>
    </w:rPr>
  </w:style>
  <w:style w:type="paragraph" w:styleId="ListBullet">
    <w:name w:val="List Bullet"/>
    <w:basedOn w:val="Normal"/>
    <w:link w:val="ListBulletChar"/>
    <w:qFormat/>
    <w:rsid w:val="00EA515C"/>
    <w:pPr>
      <w:numPr>
        <w:numId w:val="12"/>
      </w:numPr>
    </w:pPr>
  </w:style>
  <w:style w:type="paragraph" w:styleId="ListBullet2">
    <w:name w:val="List Bullet 2"/>
    <w:basedOn w:val="Normal"/>
    <w:qFormat/>
    <w:rsid w:val="00EA515C"/>
    <w:pPr>
      <w:numPr>
        <w:ilvl w:val="1"/>
        <w:numId w:val="12"/>
      </w:numPr>
    </w:pPr>
  </w:style>
  <w:style w:type="paragraph" w:styleId="TOC1">
    <w:name w:val="toc 1"/>
    <w:basedOn w:val="Normal"/>
    <w:next w:val="Normal"/>
    <w:autoRedefine/>
    <w:uiPriority w:val="39"/>
    <w:qFormat/>
    <w:rsid w:val="00CB49F9"/>
    <w:pPr>
      <w:tabs>
        <w:tab w:val="left" w:pos="426"/>
        <w:tab w:val="left" w:pos="8789"/>
      </w:tabs>
    </w:pPr>
    <w:rPr>
      <w:szCs w:val="21"/>
    </w:rPr>
  </w:style>
  <w:style w:type="character" w:customStyle="1" w:styleId="Heading2Char">
    <w:name w:val="Heading 2 Char"/>
    <w:basedOn w:val="DefaultParagraphFont"/>
    <w:link w:val="Heading2"/>
    <w:rsid w:val="004C0E99"/>
    <w:rPr>
      <w:rFonts w:ascii="Calibri" w:eastAsiaTheme="majorEastAsia" w:hAnsi="Calibri" w:cs="Arial"/>
      <w:b/>
      <w:bCs/>
      <w:iCs/>
      <w:color w:val="25909F"/>
      <w:sz w:val="24"/>
      <w:szCs w:val="28"/>
    </w:rPr>
  </w:style>
  <w:style w:type="character" w:customStyle="1" w:styleId="Heading3Char">
    <w:name w:val="Heading 3 Char"/>
    <w:basedOn w:val="DefaultParagraphFont"/>
    <w:link w:val="Heading3"/>
    <w:rsid w:val="00EA515C"/>
    <w:rPr>
      <w:rFonts w:ascii="Arial" w:eastAsiaTheme="majorEastAsia" w:hAnsi="Arial" w:cs="Arial"/>
      <w:b/>
      <w:bCs/>
      <w:color w:val="25909F"/>
      <w:sz w:val="20"/>
      <w:szCs w:val="26"/>
    </w:rPr>
  </w:style>
  <w:style w:type="character" w:customStyle="1" w:styleId="Heading4Char">
    <w:name w:val="Heading 4 Char"/>
    <w:basedOn w:val="DefaultParagraphFont"/>
    <w:link w:val="Heading4"/>
    <w:rsid w:val="00EA515C"/>
    <w:rPr>
      <w:rFonts w:asciiTheme="majorHAnsi" w:eastAsiaTheme="majorEastAsia" w:hAnsiTheme="majorHAnsi" w:cstheme="majorBidi"/>
      <w:b/>
      <w:bCs/>
      <w:i/>
      <w:iCs/>
      <w:color w:val="646464"/>
      <w:sz w:val="20"/>
      <w:szCs w:val="20"/>
    </w:rPr>
  </w:style>
  <w:style w:type="character" w:customStyle="1" w:styleId="Heading5Char">
    <w:name w:val="Heading 5 Char"/>
    <w:basedOn w:val="DefaultParagraphFont"/>
    <w:link w:val="Heading5"/>
    <w:semiHidden/>
    <w:rsid w:val="00B82FE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semiHidden/>
    <w:rsid w:val="003D51A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semiHidden/>
    <w:rsid w:val="003D51A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semiHidden/>
    <w:rsid w:val="003D51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82FEB"/>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3D51A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D51A0"/>
    <w:rPr>
      <w:rFonts w:asciiTheme="majorHAnsi" w:eastAsiaTheme="majorEastAsia" w:hAnsiTheme="majorHAnsi" w:cstheme="majorBidi"/>
      <w:bCs/>
      <w:i/>
      <w:iCs/>
      <w:color w:val="4F81BD" w:themeColor="accent1"/>
      <w:spacing w:val="15"/>
      <w:sz w:val="24"/>
      <w:szCs w:val="24"/>
    </w:rPr>
  </w:style>
  <w:style w:type="character" w:styleId="Strong">
    <w:name w:val="Strong"/>
    <w:uiPriority w:val="22"/>
    <w:rsid w:val="003D51A0"/>
    <w:rPr>
      <w:b/>
      <w:bCs/>
    </w:rPr>
  </w:style>
  <w:style w:type="character" w:styleId="Emphasis">
    <w:name w:val="Emphasis"/>
    <w:basedOn w:val="DefaultParagraphFont"/>
    <w:uiPriority w:val="20"/>
    <w:rsid w:val="003D51A0"/>
    <w:rPr>
      <w:i/>
      <w:iCs/>
    </w:rPr>
  </w:style>
  <w:style w:type="paragraph" w:styleId="NoSpacing">
    <w:name w:val="No Spacing"/>
    <w:basedOn w:val="Normal"/>
    <w:link w:val="NoSpacingChar"/>
    <w:uiPriority w:val="1"/>
    <w:rsid w:val="00B82FEB"/>
  </w:style>
  <w:style w:type="character" w:customStyle="1" w:styleId="NoSpacingChar">
    <w:name w:val="No Spacing Char"/>
    <w:basedOn w:val="DefaultParagraphFont"/>
    <w:link w:val="NoSpacing"/>
    <w:uiPriority w:val="1"/>
    <w:rsid w:val="003D51A0"/>
    <w:rPr>
      <w:rFonts w:ascii="Arial" w:hAnsi="Arial" w:cs="Arial"/>
      <w:bCs/>
      <w:sz w:val="20"/>
      <w:szCs w:val="24"/>
    </w:rPr>
  </w:style>
  <w:style w:type="paragraph" w:styleId="ListParagraph">
    <w:name w:val="List Paragraph"/>
    <w:basedOn w:val="Normal"/>
    <w:uiPriority w:val="34"/>
    <w:rsid w:val="00B82FEB"/>
    <w:pPr>
      <w:numPr>
        <w:numId w:val="7"/>
      </w:numPr>
      <w:tabs>
        <w:tab w:val="left" w:pos="284"/>
        <w:tab w:val="left" w:pos="851"/>
        <w:tab w:val="left" w:pos="1134"/>
        <w:tab w:val="left" w:pos="1418"/>
      </w:tabs>
    </w:pPr>
    <w:rPr>
      <w:lang w:eastAsia="en-AU"/>
    </w:rPr>
  </w:style>
  <w:style w:type="paragraph" w:styleId="Quote">
    <w:name w:val="Quote"/>
    <w:basedOn w:val="Normal"/>
    <w:next w:val="Normal"/>
    <w:link w:val="QuoteChar"/>
    <w:uiPriority w:val="29"/>
    <w:rsid w:val="003D51A0"/>
    <w:rPr>
      <w:i/>
      <w:iCs/>
      <w:color w:val="000000" w:themeColor="text1"/>
    </w:rPr>
  </w:style>
  <w:style w:type="character" w:customStyle="1" w:styleId="QuoteChar">
    <w:name w:val="Quote Char"/>
    <w:basedOn w:val="DefaultParagraphFont"/>
    <w:link w:val="Quote"/>
    <w:uiPriority w:val="29"/>
    <w:rsid w:val="003D51A0"/>
    <w:rPr>
      <w:rFonts w:ascii="Arial" w:hAnsi="Arial" w:cs="Arial"/>
      <w:bCs/>
      <w:i/>
      <w:iCs/>
      <w:color w:val="000000" w:themeColor="text1"/>
      <w:sz w:val="20"/>
      <w:szCs w:val="24"/>
    </w:rPr>
  </w:style>
  <w:style w:type="paragraph" w:styleId="IntenseQuote">
    <w:name w:val="Intense Quote"/>
    <w:basedOn w:val="Normal"/>
    <w:next w:val="Normal"/>
    <w:link w:val="IntenseQuoteChar"/>
    <w:uiPriority w:val="30"/>
    <w:rsid w:val="003D51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51A0"/>
    <w:rPr>
      <w:rFonts w:ascii="Arial" w:hAnsi="Arial" w:cs="Arial"/>
      <w:b/>
      <w:i/>
      <w:iCs/>
      <w:color w:val="4F81BD" w:themeColor="accent1"/>
      <w:sz w:val="20"/>
      <w:szCs w:val="24"/>
    </w:rPr>
  </w:style>
  <w:style w:type="character" w:styleId="SubtleEmphasis">
    <w:name w:val="Subtle Emphasis"/>
    <w:basedOn w:val="DefaultParagraphFont"/>
    <w:uiPriority w:val="19"/>
    <w:rsid w:val="003D51A0"/>
    <w:rPr>
      <w:i/>
      <w:iCs/>
      <w:color w:val="808080" w:themeColor="text1" w:themeTint="7F"/>
    </w:rPr>
  </w:style>
  <w:style w:type="character" w:styleId="IntenseEmphasis">
    <w:name w:val="Intense Emphasis"/>
    <w:uiPriority w:val="21"/>
    <w:rsid w:val="003D51A0"/>
    <w:rPr>
      <w:b/>
      <w:bCs/>
      <w:i/>
      <w:iCs/>
      <w:color w:val="4F81BD" w:themeColor="accent1"/>
    </w:rPr>
  </w:style>
  <w:style w:type="character" w:styleId="SubtleReference">
    <w:name w:val="Subtle Reference"/>
    <w:basedOn w:val="DefaultParagraphFont"/>
    <w:uiPriority w:val="31"/>
    <w:rsid w:val="003D51A0"/>
    <w:rPr>
      <w:smallCaps/>
      <w:color w:val="C0504D" w:themeColor="accent2"/>
      <w:u w:val="single"/>
    </w:rPr>
  </w:style>
  <w:style w:type="character" w:styleId="IntenseReference">
    <w:name w:val="Intense Reference"/>
    <w:basedOn w:val="DefaultParagraphFont"/>
    <w:uiPriority w:val="32"/>
    <w:rsid w:val="003D51A0"/>
    <w:rPr>
      <w:b/>
      <w:bCs/>
      <w:smallCaps/>
      <w:color w:val="C0504D" w:themeColor="accent2"/>
      <w:spacing w:val="5"/>
      <w:u w:val="single"/>
    </w:rPr>
  </w:style>
  <w:style w:type="character" w:styleId="BookTitle">
    <w:name w:val="Book Title"/>
    <w:basedOn w:val="DefaultParagraphFont"/>
    <w:uiPriority w:val="33"/>
    <w:rsid w:val="003D51A0"/>
    <w:rPr>
      <w:b/>
      <w:bCs/>
      <w:smallCaps/>
      <w:spacing w:val="5"/>
    </w:rPr>
  </w:style>
  <w:style w:type="paragraph" w:styleId="TOCHeading">
    <w:name w:val="TOC Heading"/>
    <w:basedOn w:val="Heading1"/>
    <w:next w:val="Normal"/>
    <w:uiPriority w:val="39"/>
    <w:semiHidden/>
    <w:unhideWhenUsed/>
    <w:qFormat/>
    <w:rsid w:val="003D51A0"/>
    <w:pPr>
      <w:keepLines/>
      <w:spacing w:before="480" w:after="0"/>
      <w:outlineLvl w:val="9"/>
    </w:pPr>
    <w:rPr>
      <w:rFonts w:asciiTheme="majorHAnsi" w:hAnsiTheme="majorHAnsi" w:cstheme="majorBidi"/>
      <w:color w:val="365F91" w:themeColor="accent1" w:themeShade="BF"/>
      <w:kern w:val="0"/>
      <w:szCs w:val="28"/>
    </w:rPr>
  </w:style>
  <w:style w:type="paragraph" w:styleId="Caption">
    <w:name w:val="caption"/>
    <w:basedOn w:val="Normal"/>
    <w:next w:val="Normal"/>
    <w:semiHidden/>
    <w:unhideWhenUsed/>
    <w:qFormat/>
    <w:rsid w:val="003D51A0"/>
    <w:pPr>
      <w:spacing w:before="0" w:after="200" w:line="240" w:lineRule="auto"/>
    </w:pPr>
    <w:rPr>
      <w:b/>
      <w:bCs/>
      <w:color w:val="4F81BD" w:themeColor="accent1"/>
      <w:sz w:val="18"/>
      <w:szCs w:val="18"/>
    </w:rPr>
  </w:style>
  <w:style w:type="table" w:styleId="TableGrid">
    <w:name w:val="Table Grid"/>
    <w:basedOn w:val="TableNormal"/>
    <w:uiPriority w:val="59"/>
    <w:rsid w:val="003D51A0"/>
    <w:pPr>
      <w:spacing w:line="240" w:lineRule="auto"/>
    </w:pPr>
    <w:rPr>
      <w:sz w:val="19"/>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style>
  <w:style w:type="paragraph" w:customStyle="1" w:styleId="TinyTot">
    <w:name w:val="Tiny Tot"/>
    <w:basedOn w:val="Normal"/>
    <w:rsid w:val="003D51A0"/>
    <w:pPr>
      <w:spacing w:after="0" w:line="240" w:lineRule="auto"/>
    </w:pPr>
    <w:rPr>
      <w:sz w:val="4"/>
      <w:szCs w:val="4"/>
      <w:lang w:eastAsia="en-AU"/>
    </w:rPr>
  </w:style>
  <w:style w:type="paragraph" w:styleId="ListBullet3">
    <w:name w:val="List Bullet 3"/>
    <w:basedOn w:val="Normal"/>
    <w:uiPriority w:val="2"/>
    <w:rsid w:val="003D51A0"/>
    <w:pPr>
      <w:numPr>
        <w:ilvl w:val="2"/>
        <w:numId w:val="12"/>
      </w:numPr>
    </w:pPr>
  </w:style>
  <w:style w:type="paragraph" w:styleId="Footer">
    <w:name w:val="footer"/>
    <w:basedOn w:val="Normal"/>
    <w:link w:val="FooterChar"/>
    <w:uiPriority w:val="99"/>
    <w:rsid w:val="009122C5"/>
    <w:pPr>
      <w:tabs>
        <w:tab w:val="center" w:pos="4513"/>
        <w:tab w:val="right" w:pos="9026"/>
      </w:tabs>
      <w:spacing w:after="0" w:line="240" w:lineRule="auto"/>
    </w:pPr>
    <w:rPr>
      <w:rFonts w:cs="Times New Roman"/>
      <w:sz w:val="17"/>
    </w:rPr>
  </w:style>
  <w:style w:type="character" w:customStyle="1" w:styleId="FooterChar">
    <w:name w:val="Footer Char"/>
    <w:basedOn w:val="DefaultParagraphFont"/>
    <w:link w:val="Footer"/>
    <w:uiPriority w:val="99"/>
    <w:rsid w:val="009122C5"/>
    <w:rPr>
      <w:rFonts w:eastAsia="Times New Roman" w:cs="Times New Roman"/>
      <w:sz w:val="17"/>
      <w:szCs w:val="20"/>
    </w:rPr>
  </w:style>
  <w:style w:type="character" w:styleId="Hyperlink">
    <w:name w:val="Hyperlink"/>
    <w:basedOn w:val="DefaultParagraphFont"/>
    <w:uiPriority w:val="99"/>
    <w:qFormat/>
    <w:rsid w:val="004C0E99"/>
    <w:rPr>
      <w:rFonts w:ascii="Calibri" w:hAnsi="Calibri"/>
      <w:color w:val="0000FF"/>
      <w:sz w:val="20"/>
      <w:u w:val="single"/>
    </w:rPr>
  </w:style>
  <w:style w:type="character" w:customStyle="1" w:styleId="ListBulletChar">
    <w:name w:val="List Bullet Char"/>
    <w:link w:val="ListBullet"/>
    <w:rsid w:val="009122C5"/>
    <w:rPr>
      <w:rFonts w:ascii="Arial" w:hAnsi="Arial" w:cs="Arial"/>
      <w:color w:val="2F2F2F"/>
      <w:sz w:val="20"/>
      <w:szCs w:val="20"/>
    </w:rPr>
  </w:style>
  <w:style w:type="paragraph" w:styleId="FootnoteText">
    <w:name w:val="footnote text"/>
    <w:basedOn w:val="Normal"/>
    <w:link w:val="FootnoteTextChar"/>
    <w:qFormat/>
    <w:rsid w:val="003D51A0"/>
    <w:pPr>
      <w:tabs>
        <w:tab w:val="left" w:pos="284"/>
      </w:tabs>
      <w:spacing w:after="0" w:line="240" w:lineRule="auto"/>
      <w:ind w:left="284" w:hanging="284"/>
    </w:pPr>
    <w:rPr>
      <w:color w:val="808080" w:themeColor="background1" w:themeShade="80"/>
      <w:sz w:val="18"/>
    </w:rPr>
  </w:style>
  <w:style w:type="character" w:customStyle="1" w:styleId="FootnoteTextChar">
    <w:name w:val="Footnote Text Char"/>
    <w:basedOn w:val="DefaultParagraphFont"/>
    <w:link w:val="FootnoteText"/>
    <w:rsid w:val="003D51A0"/>
    <w:rPr>
      <w:color w:val="808080" w:themeColor="background1" w:themeShade="80"/>
      <w:sz w:val="18"/>
      <w:szCs w:val="20"/>
    </w:rPr>
  </w:style>
  <w:style w:type="paragraph" w:styleId="Header">
    <w:name w:val="header"/>
    <w:basedOn w:val="Normal"/>
    <w:link w:val="HeaderChar"/>
    <w:uiPriority w:val="4"/>
    <w:rsid w:val="003D51A0"/>
    <w:pPr>
      <w:tabs>
        <w:tab w:val="center" w:pos="4513"/>
        <w:tab w:val="right" w:pos="9026"/>
      </w:tabs>
      <w:spacing w:after="0" w:line="240" w:lineRule="auto"/>
    </w:pPr>
  </w:style>
  <w:style w:type="character" w:customStyle="1" w:styleId="HeaderChar">
    <w:name w:val="Header Char"/>
    <w:basedOn w:val="DefaultParagraphFont"/>
    <w:link w:val="Header"/>
    <w:uiPriority w:val="4"/>
    <w:rsid w:val="003D51A0"/>
    <w:rPr>
      <w:sz w:val="19"/>
    </w:rPr>
  </w:style>
  <w:style w:type="character" w:styleId="FootnoteReference">
    <w:name w:val="footnote reference"/>
    <w:basedOn w:val="DefaultParagraphFont"/>
    <w:rsid w:val="003D51A0"/>
    <w:rPr>
      <w:vertAlign w:val="superscript"/>
    </w:rPr>
  </w:style>
  <w:style w:type="paragraph" w:styleId="BalloonText">
    <w:name w:val="Balloon Text"/>
    <w:basedOn w:val="Normal"/>
    <w:link w:val="BalloonTextChar"/>
    <w:uiPriority w:val="99"/>
    <w:semiHidden/>
    <w:unhideWhenUsed/>
    <w:rsid w:val="003D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A0"/>
    <w:rPr>
      <w:rFonts w:ascii="Tahoma" w:hAnsi="Tahoma" w:cs="Tahoma"/>
      <w:sz w:val="16"/>
      <w:szCs w:val="16"/>
    </w:rPr>
  </w:style>
  <w:style w:type="paragraph" w:customStyle="1" w:styleId="Banner">
    <w:name w:val="Banner"/>
    <w:basedOn w:val="Title"/>
    <w:uiPriority w:val="4"/>
    <w:rsid w:val="00207AB4"/>
    <w:pPr>
      <w:shd w:val="clear" w:color="auto" w:fill="4F81BD" w:themeFill="accent1"/>
      <w:spacing w:before="300"/>
      <w:outlineLvl w:val="0"/>
    </w:pPr>
    <w:rPr>
      <w:rFonts w:cs="Times New Roman"/>
      <w:b w:val="0"/>
      <w:bCs/>
      <w:color w:val="FFFFFF" w:themeColor="background1"/>
    </w:rPr>
  </w:style>
  <w:style w:type="paragraph" w:customStyle="1" w:styleId="AlphaNumbering">
    <w:name w:val="Alpha Numbering"/>
    <w:basedOn w:val="Normal"/>
    <w:uiPriority w:val="3"/>
    <w:rsid w:val="003D51A0"/>
    <w:pPr>
      <w:numPr>
        <w:numId w:val="5"/>
      </w:numPr>
      <w:tabs>
        <w:tab w:val="left" w:pos="284"/>
        <w:tab w:val="left" w:pos="851"/>
      </w:tabs>
    </w:pPr>
    <w:rPr>
      <w:rFonts w:cs="Times New Roman"/>
      <w:color w:val="1C1C1C"/>
      <w:szCs w:val="18"/>
      <w:lang w:eastAsia="en-AU"/>
    </w:rPr>
  </w:style>
  <w:style w:type="paragraph" w:styleId="BodyText">
    <w:name w:val="Body Text"/>
    <w:basedOn w:val="Normal"/>
    <w:link w:val="BodyTextChar"/>
    <w:qFormat/>
    <w:rsid w:val="00EA515C"/>
    <w:pPr>
      <w:spacing w:before="180" w:after="180"/>
    </w:pPr>
  </w:style>
  <w:style w:type="character" w:customStyle="1" w:styleId="BodyTextChar">
    <w:name w:val="Body Text Char"/>
    <w:basedOn w:val="DefaultParagraphFont"/>
    <w:link w:val="BodyText"/>
    <w:rsid w:val="003D51A0"/>
    <w:rPr>
      <w:rFonts w:ascii="Arial" w:hAnsi="Arial" w:cs="Arial"/>
      <w:color w:val="2F2F2F"/>
      <w:sz w:val="20"/>
      <w:szCs w:val="20"/>
    </w:rPr>
  </w:style>
  <w:style w:type="paragraph" w:customStyle="1" w:styleId="Indent-hanging1cmpolicyprinciples">
    <w:name w:val="Indent - hanging 1 cm (policy principles)"/>
    <w:basedOn w:val="Normal"/>
    <w:rsid w:val="00995988"/>
    <w:pPr>
      <w:ind w:left="567" w:hanging="567"/>
    </w:pPr>
    <w:rPr>
      <w:rFonts w:eastAsiaTheme="majorEastAsia" w:cs="Times New Roman"/>
      <w:sz w:val="18"/>
      <w:szCs w:val="18"/>
      <w:lang w:eastAsia="en-AU"/>
    </w:rPr>
  </w:style>
  <w:style w:type="paragraph" w:customStyle="1" w:styleId="i-hanging05cmpolicyprinciples">
    <w:name w:val="i - hanging 0.5 cm (policy principles)"/>
    <w:basedOn w:val="Indent-hanging1cmpolicyprinciples"/>
    <w:rsid w:val="00995988"/>
    <w:pPr>
      <w:tabs>
        <w:tab w:val="left" w:pos="284"/>
      </w:tabs>
    </w:pPr>
  </w:style>
  <w:style w:type="paragraph" w:customStyle="1" w:styleId="Indent-05cmPOLICY">
    <w:name w:val="Indent - 0.5 cm (POLICY)"/>
    <w:basedOn w:val="Normal"/>
    <w:rsid w:val="00D25E35"/>
    <w:rPr>
      <w:rFonts w:eastAsiaTheme="majorEastAsia" w:cs="Times New Roman"/>
      <w:color w:val="1C1C1C"/>
      <w:sz w:val="18"/>
      <w:szCs w:val="18"/>
      <w:lang w:eastAsia="en-AU"/>
    </w:rPr>
  </w:style>
  <w:style w:type="paragraph" w:customStyle="1" w:styleId="Indent-05hangingPM">
    <w:name w:val="Indent - 0.5 hanging (PM)"/>
    <w:basedOn w:val="Normal"/>
    <w:rsid w:val="00F81E06"/>
    <w:pPr>
      <w:tabs>
        <w:tab w:val="left" w:pos="284"/>
      </w:tabs>
      <w:ind w:left="284" w:hanging="284"/>
    </w:pPr>
    <w:rPr>
      <w:rFonts w:eastAsiaTheme="majorEastAsia" w:cs="Times New Roman"/>
      <w:color w:val="1C1C1C"/>
      <w:sz w:val="18"/>
      <w:szCs w:val="18"/>
      <w:lang w:eastAsia="en-AU"/>
    </w:rPr>
  </w:style>
  <w:style w:type="paragraph" w:customStyle="1" w:styleId="IN-1">
    <w:name w:val="IN-1"/>
    <w:basedOn w:val="Normal"/>
    <w:uiPriority w:val="1"/>
    <w:rsid w:val="003D51A0"/>
    <w:pPr>
      <w:ind w:left="567" w:hanging="567"/>
    </w:pPr>
    <w:rPr>
      <w:rFonts w:eastAsiaTheme="majorEastAsia" w:cs="Times New Roman"/>
      <w:sz w:val="18"/>
      <w:szCs w:val="18"/>
      <w:lang w:eastAsia="en-AU"/>
    </w:rPr>
  </w:style>
  <w:style w:type="paragraph" w:customStyle="1" w:styleId="in-05">
    <w:name w:val="in-0.5"/>
    <w:basedOn w:val="IN-1"/>
    <w:uiPriority w:val="1"/>
    <w:rsid w:val="003D51A0"/>
    <w:pPr>
      <w:tabs>
        <w:tab w:val="left" w:pos="284"/>
      </w:tabs>
    </w:pPr>
  </w:style>
  <w:style w:type="paragraph" w:customStyle="1" w:styleId="INhang-05">
    <w:name w:val="INhang-0.5"/>
    <w:basedOn w:val="Normal"/>
    <w:uiPriority w:val="1"/>
    <w:rsid w:val="003D51A0"/>
    <w:rPr>
      <w:rFonts w:eastAsiaTheme="majorEastAsia" w:cs="Times New Roman"/>
      <w:color w:val="1C1C1C"/>
      <w:sz w:val="18"/>
      <w:szCs w:val="18"/>
      <w:lang w:eastAsia="en-AU"/>
    </w:rPr>
  </w:style>
  <w:style w:type="paragraph" w:customStyle="1" w:styleId="IN-050">
    <w:name w:val="IN-0.5"/>
    <w:basedOn w:val="Normal"/>
    <w:uiPriority w:val="1"/>
    <w:rsid w:val="003D51A0"/>
    <w:pPr>
      <w:tabs>
        <w:tab w:val="left" w:pos="284"/>
      </w:tabs>
      <w:ind w:left="284" w:hanging="284"/>
    </w:pPr>
    <w:rPr>
      <w:rFonts w:eastAsiaTheme="majorEastAsia" w:cs="Times New Roman"/>
      <w:color w:val="1C1C1C"/>
      <w:sz w:val="18"/>
      <w:szCs w:val="18"/>
      <w:lang w:eastAsia="en-AU"/>
    </w:rPr>
  </w:style>
  <w:style w:type="paragraph" w:styleId="EndnoteText">
    <w:name w:val="endnote text"/>
    <w:basedOn w:val="Normal"/>
    <w:link w:val="EndnoteTextChar"/>
    <w:uiPriority w:val="5"/>
    <w:rsid w:val="003D51A0"/>
    <w:pPr>
      <w:spacing w:after="0" w:line="240" w:lineRule="auto"/>
    </w:pPr>
    <w:rPr>
      <w:color w:val="808080" w:themeColor="background1" w:themeShade="80"/>
    </w:rPr>
  </w:style>
  <w:style w:type="character" w:customStyle="1" w:styleId="EndnoteTextChar">
    <w:name w:val="Endnote Text Char"/>
    <w:basedOn w:val="DefaultParagraphFont"/>
    <w:link w:val="EndnoteText"/>
    <w:uiPriority w:val="5"/>
    <w:rsid w:val="003D51A0"/>
    <w:rPr>
      <w:color w:val="808080" w:themeColor="background1" w:themeShade="80"/>
      <w:sz w:val="20"/>
      <w:szCs w:val="20"/>
    </w:rPr>
  </w:style>
  <w:style w:type="paragraph" w:customStyle="1" w:styleId="Blueboldnormal">
    <w:name w:val="Blue bold normal"/>
    <w:basedOn w:val="Normal"/>
    <w:rsid w:val="003D51A0"/>
    <w:rPr>
      <w:b/>
      <w:color w:val="4F81BD" w:themeColor="accent1"/>
    </w:rPr>
  </w:style>
  <w:style w:type="paragraph" w:styleId="List">
    <w:name w:val="List"/>
    <w:basedOn w:val="Normal"/>
    <w:uiPriority w:val="2"/>
    <w:rsid w:val="003D51A0"/>
    <w:pPr>
      <w:ind w:left="283" w:hanging="283"/>
      <w:contextualSpacing/>
    </w:pPr>
  </w:style>
  <w:style w:type="character" w:customStyle="1" w:styleId="Emphasis-Italics">
    <w:name w:val="Emphasis - Italics"/>
    <w:rsid w:val="00B82FEB"/>
    <w:rPr>
      <w:i/>
    </w:rPr>
  </w:style>
  <w:style w:type="character" w:customStyle="1" w:styleId="Emphasis-Bold">
    <w:name w:val="Emphasis - Bold"/>
    <w:rsid w:val="00B82FEB"/>
    <w:rPr>
      <w:rFonts w:ascii="Arial" w:hAnsi="Arial" w:cs="Arial"/>
      <w:b/>
      <w:color w:val="000000"/>
    </w:rPr>
  </w:style>
  <w:style w:type="paragraph" w:customStyle="1" w:styleId="Bullet1">
    <w:name w:val="Bullet 1"/>
    <w:basedOn w:val="Normal"/>
    <w:rsid w:val="00B82FEB"/>
    <w:pPr>
      <w:tabs>
        <w:tab w:val="num" w:pos="1077"/>
      </w:tabs>
      <w:spacing w:before="80" w:after="80" w:line="240" w:lineRule="auto"/>
      <w:ind w:left="1077" w:hanging="283"/>
    </w:pPr>
    <w:rPr>
      <w:rFonts w:cs="Calibri"/>
      <w:bCs/>
      <w:sz w:val="22"/>
      <w:lang w:eastAsia="en-AU"/>
    </w:rPr>
  </w:style>
  <w:style w:type="paragraph" w:customStyle="1" w:styleId="DEPIBullet">
    <w:name w:val="DEPI_Bullet"/>
    <w:link w:val="DEPIBulletChar"/>
    <w:rsid w:val="00B82FEB"/>
    <w:pPr>
      <w:tabs>
        <w:tab w:val="num" w:pos="284"/>
      </w:tabs>
      <w:spacing w:before="60" w:after="60" w:line="260" w:lineRule="atLeast"/>
      <w:ind w:left="284" w:hanging="284"/>
    </w:pPr>
    <w:rPr>
      <w:rFonts w:ascii="Arial" w:hAnsi="Arial" w:cs="Arial"/>
      <w:szCs w:val="24"/>
    </w:rPr>
  </w:style>
  <w:style w:type="character" w:customStyle="1" w:styleId="DEPIBulletChar">
    <w:name w:val="DEPI_Bullet Char"/>
    <w:basedOn w:val="DefaultParagraphFont"/>
    <w:link w:val="DEPIBullet"/>
    <w:rsid w:val="00B82FEB"/>
    <w:rPr>
      <w:rFonts w:ascii="Arial" w:eastAsia="Times New Roman" w:hAnsi="Arial" w:cs="Arial"/>
      <w:sz w:val="18"/>
      <w:szCs w:val="24"/>
    </w:rPr>
  </w:style>
  <w:style w:type="paragraph" w:styleId="ListNumber">
    <w:name w:val="List Number"/>
    <w:basedOn w:val="Normal"/>
    <w:qFormat/>
    <w:rsid w:val="00EA515C"/>
    <w:pPr>
      <w:numPr>
        <w:numId w:val="14"/>
      </w:numPr>
    </w:pPr>
    <w:rPr>
      <w:b/>
      <w:color w:val="F68F35"/>
    </w:rPr>
  </w:style>
  <w:style w:type="paragraph" w:styleId="ListNumber2">
    <w:name w:val="List Number 2"/>
    <w:basedOn w:val="Normal"/>
    <w:qFormat/>
    <w:rsid w:val="00EA515C"/>
    <w:pPr>
      <w:numPr>
        <w:ilvl w:val="1"/>
        <w:numId w:val="14"/>
      </w:numPr>
    </w:pPr>
  </w:style>
  <w:style w:type="character" w:styleId="FollowedHyperlink">
    <w:name w:val="FollowedHyperlink"/>
    <w:basedOn w:val="DefaultParagraphFont"/>
    <w:uiPriority w:val="99"/>
    <w:semiHidden/>
    <w:unhideWhenUsed/>
    <w:rsid w:val="00255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depi.vic.gov.au/about-us/boards-and-governance/on-board-governance-guides-and-resources/conflict-of-interest" TargetMode="External"/><Relationship Id="rId26" Type="http://schemas.openxmlformats.org/officeDocument/2006/relationships/hyperlink" Target="http://www.depi.vic.gov.au/about-us/boards-and-governance/on-board-governance-guides-and-resources/integrity-complaints" TargetMode="External"/><Relationship Id="rId39" Type="http://schemas.openxmlformats.org/officeDocument/2006/relationships/hyperlink" Target="http://www.audit.vic.gov.au/about_us/role_of_the_auditor-general.aspx" TargetMode="External"/><Relationship Id="rId21" Type="http://schemas.openxmlformats.org/officeDocument/2006/relationships/hyperlink" Target="http://www.depi.vic.gov.au/about-us/boards-and-governance/on-board-governance-guides-and-resources/meetings-and-decisions" TargetMode="External"/><Relationship Id="rId34" Type="http://schemas.openxmlformats.org/officeDocument/2006/relationships/hyperlink" Target="http://www.audit.vic.gov.au/publications/20150624-Annual-Plan/20150624-Annual-Plan-Table.html" TargetMode="External"/><Relationship Id="rId42" Type="http://schemas.openxmlformats.org/officeDocument/2006/relationships/hyperlink" Target="http://www.depi.vic.gov.au/about-us/boards-and-governance/on-board-governance-guides-and-resources/induction-and-continuing-education" TargetMode="External"/><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hyperlink" Target="http://vpsc.vic.gov.au/products/a-z/view-products/governance-insights.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vpsc.vic.gov.au/resources/codes-of-conduct/" TargetMode="External"/><Relationship Id="rId20" Type="http://schemas.openxmlformats.org/officeDocument/2006/relationships/hyperlink" Target="http://www.depi.vic.gov.au/about-us/boards-and-governance/on-board-governance-guides-and-resources/conflict-of-interest" TargetMode="External"/><Relationship Id="rId29" Type="http://schemas.openxmlformats.org/officeDocument/2006/relationships/hyperlink" Target="http://www.justice.vic.gov.au/home/justice+system/laws+and+regulation/victorian+model+litigant+guidelines" TargetMode="External"/><Relationship Id="rId41" Type="http://schemas.openxmlformats.org/officeDocument/2006/relationships/image" Target="media/image6.jpeg"/><Relationship Id="rId54" Type="http://schemas.openxmlformats.org/officeDocument/2006/relationships/hyperlink" Target="http://www.ssa.vic.gov.au/subscribe-to-enew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depi.vic.gov.au/about-us/boards-and-governance/on-board-governance-guides-and-resources/committees-of-management" TargetMode="External"/><Relationship Id="rId32" Type="http://schemas.openxmlformats.org/officeDocument/2006/relationships/hyperlink" Target="http://www.depi.vic.gov.au/about-us/boards-and-governance/on-board-governance-guides-and-resources/annual-reporting" TargetMode="External"/><Relationship Id="rId37" Type="http://schemas.openxmlformats.org/officeDocument/2006/relationships/hyperlink" Target="http://www.audit.vic.gov.au/about_us/the_audit_process.aspx" TargetMode="External"/><Relationship Id="rId40" Type="http://schemas.openxmlformats.org/officeDocument/2006/relationships/hyperlink" Target="http://www.anao.gov.au/" TargetMode="External"/><Relationship Id="rId45" Type="http://schemas.openxmlformats.org/officeDocument/2006/relationships/hyperlink" Target="http://eepurl.com/bfeumr" TargetMode="External"/><Relationship Id="rId53" Type="http://schemas.openxmlformats.org/officeDocument/2006/relationships/hyperlink" Target="http://www.depi.vic.gov.au/about-us/boards-and-governance/on-board-governance-guides-and-resources/e-alerts-and-news" TargetMode="External"/><Relationship Id="rId58" Type="http://schemas.openxmlformats.org/officeDocument/2006/relationships/hyperlink" Target="http://www.ibac.vic.gov.au/subscribe" TargetMode="External"/><Relationship Id="rId5" Type="http://schemas.openxmlformats.org/officeDocument/2006/relationships/settings" Target="settings.xml"/><Relationship Id="rId15" Type="http://schemas.openxmlformats.org/officeDocument/2006/relationships/hyperlink" Target="http://vpsc.vic.gov.au/resources/directors-code-of-conduct-and-guidance-notes/" TargetMode="External"/><Relationship Id="rId23" Type="http://schemas.openxmlformats.org/officeDocument/2006/relationships/hyperlink" Target="http://www.depi.vic.gov.au/about-us/boards-and-governance/on-board-governance-guides-and-resources/induction-and-continuing-education" TargetMode="External"/><Relationship Id="rId28" Type="http://schemas.openxmlformats.org/officeDocument/2006/relationships/hyperlink" Target="http://www.depi.vic.gov.au/about-us/boards-and-governance/on-board-governance-guides-and-resources/privacy" TargetMode="External"/><Relationship Id="rId36" Type="http://schemas.openxmlformats.org/officeDocument/2006/relationships/hyperlink" Target="http://www.audit.vic.gov.au/about_us/subscribe_newsletters.aspx" TargetMode="External"/><Relationship Id="rId49" Type="http://schemas.openxmlformats.org/officeDocument/2006/relationships/image" Target="media/image11.png"/><Relationship Id="rId57" Type="http://schemas.openxmlformats.org/officeDocument/2006/relationships/hyperlink" Target="http://www.audit.vic.gov.au/about_us/subscribe_newsletters.aspx" TargetMode="External"/><Relationship Id="rId61"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dpc.vic.gov.au/index.php/policies/governance/appointment-and-remuneration-guidelines" TargetMode="External"/><Relationship Id="rId31" Type="http://schemas.openxmlformats.org/officeDocument/2006/relationships/hyperlink" Target="http://www.dtf.vic.gov.au/Publications/Victoria-Economy-publications/Victorian-risk-management-framework-and-insurance-management-policy" TargetMode="External"/><Relationship Id="rId44" Type="http://schemas.openxmlformats.org/officeDocument/2006/relationships/image" Target="media/image7.jpeg"/><Relationship Id="rId52" Type="http://schemas.openxmlformats.org/officeDocument/2006/relationships/hyperlink" Target="http://eepurl.com/bfeumr"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depi.vic.gov.au/about-us/boards-and-governance/on-board-governance-guides-and-resources/model-policies" TargetMode="External"/><Relationship Id="rId22" Type="http://schemas.openxmlformats.org/officeDocument/2006/relationships/hyperlink" Target="http://www.depi.vic.gov.au/about-us/boards-and-governance/on-board-governance-guides-and-resources/meetings-and-decisions" TargetMode="External"/><Relationship Id="rId27" Type="http://schemas.openxmlformats.org/officeDocument/2006/relationships/hyperlink" Target="http://www.depi.vic.gov.au/about-us/boards-and-governance/on-board-governance-guides-and-resources/privacy" TargetMode="External"/><Relationship Id="rId30" Type="http://schemas.openxmlformats.org/officeDocument/2006/relationships/hyperlink" Target="http://www.vgso.vic.gov.au/sites/default/files/UpdatedMarchClientNewsletter_0.pdf" TargetMode="External"/><Relationship Id="rId35" Type="http://schemas.openxmlformats.org/officeDocument/2006/relationships/hyperlink" Target="http://www.audit.vic.gov.au/publications/20150624-Annual-Plan/20150624-Annual-Plan-Table.html" TargetMode="External"/><Relationship Id="rId43" Type="http://schemas.openxmlformats.org/officeDocument/2006/relationships/hyperlink" Target="http://www.depi.vic.gov.au/about-us/boards-and-governance/on-board-governance-guides-and-resources" TargetMode="External"/><Relationship Id="rId48" Type="http://schemas.openxmlformats.org/officeDocument/2006/relationships/image" Target="media/image10.png"/><Relationship Id="rId56" Type="http://schemas.openxmlformats.org/officeDocument/2006/relationships/hyperlink" Target="https://www.ombudsman.vic.gov.au/Media/Register-for-Media-Alerts" TargetMode="External"/><Relationship Id="rId8" Type="http://schemas.openxmlformats.org/officeDocument/2006/relationships/endnotes" Target="endnotes.xml"/><Relationship Id="rId51" Type="http://schemas.openxmlformats.org/officeDocument/2006/relationships/image" Target="media/image13.jpeg"/><Relationship Id="rId3" Type="http://schemas.openxmlformats.org/officeDocument/2006/relationships/styles" Target="styles.xml"/><Relationship Id="rId12" Type="http://schemas.openxmlformats.org/officeDocument/2006/relationships/hyperlink" Target="http://www.depi.vic.gov.au/about-us/boards-and-governance/on-board-governance-guides-and-resources" TargetMode="External"/><Relationship Id="rId17" Type="http://schemas.openxmlformats.org/officeDocument/2006/relationships/hyperlink" Target="http://www.depi.vic.gov.au/about-us/boards-and-governance/on-board-governance-guides-and-resources/conflict-of-interest" TargetMode="External"/><Relationship Id="rId25" Type="http://schemas.openxmlformats.org/officeDocument/2006/relationships/hyperlink" Target="http://www.depi.vic.gov.au/about-us/boards-and-governance/on-board-governance-guides-and-resources/integrity-complaints" TargetMode="External"/><Relationship Id="rId33" Type="http://schemas.openxmlformats.org/officeDocument/2006/relationships/hyperlink" Target="http://www.audit.vic.gov.au/reports_and_publications/annual-plan.aspx" TargetMode="External"/><Relationship Id="rId38" Type="http://schemas.openxmlformats.org/officeDocument/2006/relationships/hyperlink" Target="http://www.anao.gov.au/" TargetMode="External"/><Relationship Id="rId46" Type="http://schemas.openxmlformats.org/officeDocument/2006/relationships/image" Target="media/image8.png"/><Relationship Id="rId59" Type="http://schemas.openxmlformats.org/officeDocument/2006/relationships/hyperlink" Target="http://www.dtf.vic.gov.au/Publications/Government-Financial-Management-publications/Financial-reporting-policy/Accounting-policy-update-Newslette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2C75-26FE-4D0D-B35B-B6D1E3CE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Bright</dc:creator>
  <cp:lastModifiedBy>Jeni Bright</cp:lastModifiedBy>
  <cp:revision>2</cp:revision>
  <cp:lastPrinted>2015-10-01T07:29:00Z</cp:lastPrinted>
  <dcterms:created xsi:type="dcterms:W3CDTF">2015-10-19T06:58:00Z</dcterms:created>
  <dcterms:modified xsi:type="dcterms:W3CDTF">2015-10-19T06:58:00Z</dcterms:modified>
</cp:coreProperties>
</file>