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2552" w:tblpY="455"/>
        <w:tblOverlap w:val="never"/>
        <w:tblW w:w="864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8647"/>
      </w:tblGrid>
      <w:tr w:rsidR="006F3B92" w:rsidRPr="004D380A" w14:paraId="5016F0C5" w14:textId="77777777" w:rsidTr="007420B0">
        <w:trPr>
          <w:trHeight w:val="1418"/>
        </w:trPr>
        <w:tc>
          <w:tcPr>
            <w:tcW w:w="8647" w:type="dxa"/>
            <w:vAlign w:val="center"/>
            <w:hideMark/>
          </w:tcPr>
          <w:p w14:paraId="3166CEC4" w14:textId="0509B3E2" w:rsidR="006F3B92" w:rsidRPr="004D380A" w:rsidRDefault="006F3B92" w:rsidP="002837DB">
            <w:pPr>
              <w:pStyle w:val="Title"/>
              <w:rPr>
                <w:b w:val="0"/>
              </w:rPr>
            </w:pPr>
            <w:r w:rsidRPr="004D380A">
              <w:rPr>
                <w:b w:val="0"/>
              </w:rPr>
              <w:t>Chapter 1</w:t>
            </w:r>
            <w:r w:rsidR="002837DB">
              <w:rPr>
                <w:b w:val="0"/>
              </w:rPr>
              <w:t>3</w:t>
            </w:r>
            <w:r w:rsidR="00311EED" w:rsidRPr="004D380A">
              <w:rPr>
                <w:b w:val="0"/>
              </w:rPr>
              <w:t xml:space="preserve"> </w:t>
            </w:r>
            <w:r w:rsidR="00405302">
              <w:rPr>
                <w:b w:val="0"/>
              </w:rPr>
              <w:t>–</w:t>
            </w:r>
            <w:r w:rsidR="002837DB">
              <w:rPr>
                <w:b w:val="0"/>
              </w:rPr>
              <w:t xml:space="preserve"> </w:t>
            </w:r>
            <w:r w:rsidR="00E46F09">
              <w:rPr>
                <w:b w:val="0"/>
              </w:rPr>
              <w:t>Employees</w:t>
            </w:r>
            <w:r w:rsidRPr="004D380A">
              <w:rPr>
                <w:b w:val="0"/>
              </w:rPr>
              <w:t xml:space="preserve"> </w:t>
            </w:r>
          </w:p>
        </w:tc>
      </w:tr>
      <w:tr w:rsidR="00C46A59" w:rsidRPr="006F3B92" w14:paraId="22DABE79" w14:textId="77777777" w:rsidTr="007420B0">
        <w:trPr>
          <w:trHeight w:val="1247"/>
        </w:trPr>
        <w:tc>
          <w:tcPr>
            <w:tcW w:w="8647" w:type="dxa"/>
            <w:vAlign w:val="center"/>
          </w:tcPr>
          <w:p w14:paraId="7B025098" w14:textId="40A4AE81" w:rsidR="00C46A59" w:rsidRPr="006F3B92" w:rsidRDefault="005F1F7D" w:rsidP="00405302">
            <w:pPr>
              <w:pStyle w:val="Subtitle"/>
              <w:ind w:left="142" w:hanging="142"/>
              <w:rPr>
                <w:sz w:val="24"/>
              </w:rPr>
            </w:pPr>
            <w:r w:rsidRPr="006F3B92">
              <w:rPr>
                <w:sz w:val="24"/>
              </w:rPr>
              <w:t xml:space="preserve">This chapter looks at </w:t>
            </w:r>
            <w:r w:rsidR="000832C0" w:rsidRPr="006F3B92">
              <w:rPr>
                <w:sz w:val="24"/>
              </w:rPr>
              <w:t xml:space="preserve">the committee’s obligations </w:t>
            </w:r>
            <w:r w:rsidR="003B64C6" w:rsidRPr="006F3B92">
              <w:rPr>
                <w:sz w:val="24"/>
              </w:rPr>
              <w:br/>
            </w:r>
            <w:r w:rsidR="000832C0" w:rsidRPr="006F3B92">
              <w:rPr>
                <w:sz w:val="24"/>
              </w:rPr>
              <w:t xml:space="preserve">if it </w:t>
            </w:r>
            <w:r w:rsidR="00CF65C2">
              <w:rPr>
                <w:sz w:val="24"/>
              </w:rPr>
              <w:t>engages</w:t>
            </w:r>
            <w:r w:rsidR="000832C0" w:rsidRPr="006F3B92">
              <w:rPr>
                <w:sz w:val="24"/>
              </w:rPr>
              <w:t xml:space="preserve"> </w:t>
            </w:r>
            <w:r w:rsidR="00CF65C2">
              <w:rPr>
                <w:sz w:val="24"/>
              </w:rPr>
              <w:t>employees</w:t>
            </w:r>
            <w:r w:rsidR="000832C0" w:rsidRPr="006F3B92">
              <w:rPr>
                <w:sz w:val="24"/>
              </w:rPr>
              <w:t>.</w:t>
            </w:r>
          </w:p>
        </w:tc>
      </w:tr>
    </w:tbl>
    <w:p w14:paraId="25D8A426" w14:textId="7B5C7BDB" w:rsidR="009C5F34" w:rsidRDefault="009C5F34" w:rsidP="0027516B">
      <w:pPr>
        <w:pStyle w:val="BodyText"/>
      </w:pPr>
    </w:p>
    <w:p w14:paraId="26088482" w14:textId="77777777" w:rsidR="00F21A6A" w:rsidRPr="00C46A59" w:rsidRDefault="00F21A6A" w:rsidP="0027516B">
      <w:pPr>
        <w:pStyle w:val="BodyText"/>
      </w:pPr>
    </w:p>
    <w:p w14:paraId="09852F09" w14:textId="53BF00F1" w:rsidR="00356EB8" w:rsidRDefault="00453E2C" w:rsidP="00453E2C">
      <w:pPr>
        <w:pStyle w:val="Heading1"/>
        <w:tabs>
          <w:tab w:val="left" w:pos="993"/>
        </w:tabs>
      </w:pPr>
      <w:bookmarkStart w:id="0" w:name="_Toc380503679"/>
      <w:bookmarkStart w:id="1" w:name="_Toc382289747"/>
      <w:r>
        <w:t>13.1</w:t>
      </w:r>
      <w:r>
        <w:tab/>
      </w:r>
      <w:r w:rsidR="000832C0">
        <w:t>Introduction</w:t>
      </w:r>
    </w:p>
    <w:p w14:paraId="571C2821" w14:textId="7AEA1712" w:rsidR="009A38A5" w:rsidRDefault="000A2200" w:rsidP="00666812">
      <w:pPr>
        <w:pStyle w:val="BodyText"/>
      </w:pPr>
      <w:r>
        <w:t xml:space="preserve">Some </w:t>
      </w:r>
      <w:r w:rsidR="00356EB8" w:rsidRPr="001D7E04">
        <w:t>committees</w:t>
      </w:r>
      <w:r w:rsidR="009A38A5">
        <w:t xml:space="preserve"> engage employees</w:t>
      </w:r>
      <w:r w:rsidR="00D762FF">
        <w:t>, such as a reserve manager,</w:t>
      </w:r>
      <w:r w:rsidR="009A38A5">
        <w:t xml:space="preserve"> to </w:t>
      </w:r>
      <w:r w:rsidR="00D762FF">
        <w:t xml:space="preserve">help </w:t>
      </w:r>
      <w:r w:rsidR="009A38A5">
        <w:t>with the running of the reserve.</w:t>
      </w:r>
    </w:p>
    <w:p w14:paraId="51E29735" w14:textId="4A6B4AFE" w:rsidR="00F27B05" w:rsidRDefault="009A38A5" w:rsidP="009A38A5">
      <w:pPr>
        <w:pStyle w:val="BodyText"/>
        <w:numPr>
          <w:ilvl w:val="0"/>
          <w:numId w:val="36"/>
        </w:numPr>
      </w:pPr>
      <w:r>
        <w:t>M</w:t>
      </w:r>
      <w:r w:rsidR="00495F9A">
        <w:t>ajor committee</w:t>
      </w:r>
      <w:r w:rsidR="00033DF7">
        <w:t>s</w:t>
      </w:r>
      <w:r w:rsidR="00495F9A">
        <w:t xml:space="preserve"> </w:t>
      </w:r>
      <w:r w:rsidR="00A662DA">
        <w:t>that</w:t>
      </w:r>
      <w:r w:rsidR="00495F9A">
        <w:t xml:space="preserve"> manage reserve</w:t>
      </w:r>
      <w:r w:rsidR="00200D68">
        <w:t>s</w:t>
      </w:r>
      <w:r w:rsidR="00495F9A">
        <w:t xml:space="preserve"> o</w:t>
      </w:r>
      <w:r w:rsidR="00200D68">
        <w:t>f</w:t>
      </w:r>
      <w:r w:rsidR="00495F9A">
        <w:t xml:space="preserve"> regional or statewide significance</w:t>
      </w:r>
      <w:r>
        <w:t xml:space="preserve"> are the most likely </w:t>
      </w:r>
      <w:r w:rsidR="00F27B05">
        <w:t>to</w:t>
      </w:r>
      <w:r w:rsidR="001671D3">
        <w:t xml:space="preserve"> </w:t>
      </w:r>
      <w:r w:rsidR="00B37E6C">
        <w:t xml:space="preserve">engage employees. </w:t>
      </w:r>
    </w:p>
    <w:p w14:paraId="462F5FCE" w14:textId="3093BE69" w:rsidR="005D5D44" w:rsidRDefault="00F27B05" w:rsidP="009A38A5">
      <w:pPr>
        <w:pStyle w:val="BodyText"/>
        <w:numPr>
          <w:ilvl w:val="0"/>
          <w:numId w:val="36"/>
        </w:numPr>
      </w:pPr>
      <w:r>
        <w:t>L</w:t>
      </w:r>
      <w:r w:rsidR="001D6E47">
        <w:t xml:space="preserve">ocal </w:t>
      </w:r>
      <w:r w:rsidR="000A2200">
        <w:t xml:space="preserve">committees </w:t>
      </w:r>
      <w:r w:rsidR="0018699F">
        <w:t xml:space="preserve">are less likely to engage </w:t>
      </w:r>
      <w:r w:rsidR="00540C0B">
        <w:t xml:space="preserve">employees, </w:t>
      </w:r>
      <w:r w:rsidR="00A662DA">
        <w:t xml:space="preserve">usually </w:t>
      </w:r>
      <w:r w:rsidR="00540C0B">
        <w:t>adopting a</w:t>
      </w:r>
      <w:r w:rsidR="0018699F">
        <w:t xml:space="preserve"> more ‘hands</w:t>
      </w:r>
      <w:r w:rsidR="00D762FF">
        <w:t>-</w:t>
      </w:r>
      <w:r w:rsidR="0018699F">
        <w:t>on’ approach</w:t>
      </w:r>
      <w:r w:rsidR="004454EA">
        <w:t>.</w:t>
      </w:r>
    </w:p>
    <w:p w14:paraId="38ACBAEB" w14:textId="07018276" w:rsidR="00356EB8" w:rsidRDefault="00356EB8" w:rsidP="009B12ED">
      <w:pPr>
        <w:pStyle w:val="BodyText"/>
      </w:pPr>
      <w:r>
        <w:t xml:space="preserve">A committee will only </w:t>
      </w:r>
      <w:r w:rsidR="00A632E6">
        <w:t>employ</w:t>
      </w:r>
      <w:r>
        <w:t xml:space="preserve"> </w:t>
      </w:r>
      <w:r w:rsidR="00EB763E">
        <w:t xml:space="preserve">paid </w:t>
      </w:r>
      <w:r>
        <w:t>staff if it has</w:t>
      </w:r>
      <w:r w:rsidR="009B12ED">
        <w:t xml:space="preserve"> </w:t>
      </w:r>
      <w:r>
        <w:t xml:space="preserve">the </w:t>
      </w:r>
      <w:r w:rsidRPr="00A662DA">
        <w:rPr>
          <w:b/>
        </w:rPr>
        <w:t>need</w:t>
      </w:r>
      <w:r>
        <w:t xml:space="preserve"> and </w:t>
      </w:r>
      <w:r w:rsidR="009B12ED">
        <w:t xml:space="preserve">the </w:t>
      </w:r>
      <w:r w:rsidRPr="00A662DA">
        <w:rPr>
          <w:b/>
        </w:rPr>
        <w:t>financial resources</w:t>
      </w:r>
      <w:r>
        <w:t xml:space="preserve"> to do so</w:t>
      </w:r>
      <w:r w:rsidR="00A662DA">
        <w:t>, for example</w:t>
      </w:r>
      <w:r w:rsidR="00D762FF">
        <w:t>,</w:t>
      </w:r>
      <w:r w:rsidR="009B12ED">
        <w:t xml:space="preserve"> s</w:t>
      </w:r>
      <w:r>
        <w:t>ome</w:t>
      </w:r>
      <w:r w:rsidR="00A662DA">
        <w:t xml:space="preserve"> committees manag</w:t>
      </w:r>
      <w:r w:rsidR="00427AA3">
        <w:t>e</w:t>
      </w:r>
      <w:r>
        <w:t xml:space="preserve"> </w:t>
      </w:r>
      <w:r w:rsidR="000F09FF">
        <w:t>caravan parks</w:t>
      </w:r>
      <w:r w:rsidRPr="001D7E04">
        <w:t xml:space="preserve">. </w:t>
      </w:r>
    </w:p>
    <w:p w14:paraId="62DC10D8" w14:textId="7199D212" w:rsidR="009B12ED" w:rsidRDefault="009B12ED" w:rsidP="00A662DA">
      <w:pPr>
        <w:pStyle w:val="BodyText"/>
      </w:pPr>
      <w:r>
        <w:t xml:space="preserve">All committees tend to supplement their activities with the use of volunteers (see </w:t>
      </w:r>
      <w:r w:rsidRPr="009F71D9">
        <w:t xml:space="preserve">chapter </w:t>
      </w:r>
      <w:r w:rsidR="003D5373" w:rsidRPr="009F71D9">
        <w:t>15</w:t>
      </w:r>
      <w:r w:rsidR="00861D7B">
        <w:t xml:space="preserve"> ‘Volunteers’</w:t>
      </w:r>
      <w:r w:rsidRPr="009F71D9">
        <w:t>)</w:t>
      </w:r>
      <w:r>
        <w:t xml:space="preserve"> and, where necessary, contractors (see </w:t>
      </w:r>
      <w:r w:rsidRPr="009F71D9">
        <w:t xml:space="preserve">chapter </w:t>
      </w:r>
      <w:r w:rsidR="003D5373" w:rsidRPr="009F71D9">
        <w:t>14</w:t>
      </w:r>
      <w:r w:rsidR="00861D7B">
        <w:t xml:space="preserve"> ‘Hiring contractors’</w:t>
      </w:r>
      <w:r w:rsidRPr="009F71D9">
        <w:t>)</w:t>
      </w:r>
      <w:r w:rsidRPr="00861D7B">
        <w:t>.</w:t>
      </w:r>
      <w:r w:rsidRPr="001D7E04">
        <w:t xml:space="preserve"> </w:t>
      </w:r>
    </w:p>
    <w:p w14:paraId="558BAD06" w14:textId="01DBD6F8" w:rsidR="00356EB8" w:rsidRDefault="00453E2C" w:rsidP="00453E2C">
      <w:pPr>
        <w:pStyle w:val="Heading1"/>
        <w:tabs>
          <w:tab w:val="left" w:pos="993"/>
        </w:tabs>
      </w:pPr>
      <w:r>
        <w:t>13.2</w:t>
      </w:r>
      <w:r>
        <w:tab/>
      </w:r>
      <w:r w:rsidR="00356EB8">
        <w:t xml:space="preserve">Only incorporated committees should </w:t>
      </w:r>
      <w:r w:rsidR="00A632E6">
        <w:t>employ</w:t>
      </w:r>
      <w:r w:rsidR="00356EB8">
        <w:t xml:space="preserve"> staff </w:t>
      </w:r>
    </w:p>
    <w:p w14:paraId="6A79AF58" w14:textId="734D53B6" w:rsidR="00356EB8" w:rsidRDefault="00356EB8" w:rsidP="00666812">
      <w:pPr>
        <w:pStyle w:val="BodyText"/>
      </w:pPr>
      <w:r>
        <w:t xml:space="preserve">If your committee intends to </w:t>
      </w:r>
      <w:r w:rsidR="0027516B">
        <w:t xml:space="preserve">engage </w:t>
      </w:r>
      <w:r w:rsidR="005F152D">
        <w:t>employees</w:t>
      </w:r>
      <w:r>
        <w:t xml:space="preserve">, first check that it is incorporated. </w:t>
      </w:r>
    </w:p>
    <w:p w14:paraId="5948BFF3" w14:textId="354BCE4C" w:rsidR="00356EB8" w:rsidRDefault="00356EB8" w:rsidP="00666812">
      <w:pPr>
        <w:pStyle w:val="BodyText"/>
      </w:pPr>
      <w:r>
        <w:t xml:space="preserve">It is simple for a committee to become incorporated under </w:t>
      </w:r>
      <w:r w:rsidR="007422FE">
        <w:t xml:space="preserve">section 14A of </w:t>
      </w:r>
      <w:r>
        <w:t xml:space="preserve">the </w:t>
      </w:r>
      <w:r w:rsidR="003931CC" w:rsidRPr="003931CC">
        <w:rPr>
          <w:i/>
        </w:rPr>
        <w:t>Crown Land (Reserves) Act 1978</w:t>
      </w:r>
      <w:r w:rsidR="007422FE">
        <w:t>.</w:t>
      </w:r>
      <w:r>
        <w:t xml:space="preserve"> The department can </w:t>
      </w:r>
      <w:r w:rsidR="00D762FF">
        <w:t xml:space="preserve">help </w:t>
      </w:r>
      <w:r>
        <w:t xml:space="preserve">your committee to do so. Contact your local DELWP </w:t>
      </w:r>
      <w:bookmarkStart w:id="2" w:name="_Hlk22637518"/>
      <w:r w:rsidR="009D29E7">
        <w:rPr>
          <w:lang w:val="en-US"/>
        </w:rPr>
        <w:fldChar w:fldCharType="begin"/>
      </w:r>
      <w:r w:rsidR="009D29E7">
        <w:instrText xml:space="preserve"> HYPERLINK "https://www2.delwp.vic.gov.au/communities-and-regions/regions-and-locations" </w:instrText>
      </w:r>
      <w:r w:rsidR="009D29E7">
        <w:rPr>
          <w:lang w:val="en-US"/>
        </w:rPr>
        <w:fldChar w:fldCharType="separate"/>
      </w:r>
      <w:r w:rsidR="009D29E7" w:rsidRPr="00645942">
        <w:rPr>
          <w:rStyle w:val="Hyperlink"/>
        </w:rPr>
        <w:t>regional office</w:t>
      </w:r>
      <w:r w:rsidR="009D29E7">
        <w:rPr>
          <w:rStyle w:val="Hyperlink"/>
        </w:rPr>
        <w:fldChar w:fldCharType="end"/>
      </w:r>
      <w:bookmarkEnd w:id="2"/>
      <w:r>
        <w:t xml:space="preserve">. </w:t>
      </w:r>
    </w:p>
    <w:p w14:paraId="56F8A637" w14:textId="77777777" w:rsidR="00356EB8" w:rsidRDefault="00356EB8" w:rsidP="00666812">
      <w:pPr>
        <w:pStyle w:val="BodyText"/>
      </w:pPr>
      <w:r>
        <w:t xml:space="preserve">Incorporation means that the committee is a legal entity. The committee has the legal obligations of an employer. This helps to protect individual committee members personally. </w:t>
      </w:r>
    </w:p>
    <w:p w14:paraId="1C0D7D20" w14:textId="5F253124" w:rsidR="00356EB8" w:rsidRDefault="00356EB8" w:rsidP="00666812">
      <w:pPr>
        <w:pStyle w:val="BodyText"/>
      </w:pPr>
      <w:r>
        <w:t>For further information about incorporation</w:t>
      </w:r>
      <w:r w:rsidR="00861D7B">
        <w:t>,</w:t>
      </w:r>
      <w:r>
        <w:t xml:space="preserve"> </w:t>
      </w:r>
      <w:r w:rsidRPr="00861D7B">
        <w:t xml:space="preserve">see </w:t>
      </w:r>
      <w:r w:rsidR="003D5373" w:rsidRPr="009F71D9">
        <w:t>6.3</w:t>
      </w:r>
      <w:r w:rsidR="00861D7B" w:rsidRPr="009F71D9">
        <w:t xml:space="preserve"> ‘Benefits and safety of incorporation’</w:t>
      </w:r>
      <w:r w:rsidRPr="009F71D9">
        <w:t>.</w:t>
      </w:r>
      <w:bookmarkEnd w:id="0"/>
      <w:bookmarkEnd w:id="1"/>
    </w:p>
    <w:p w14:paraId="4C85F2BD" w14:textId="6BAF18BD" w:rsidR="00356EB8" w:rsidRDefault="00453E2C" w:rsidP="00453E2C">
      <w:pPr>
        <w:pStyle w:val="Heading1"/>
        <w:tabs>
          <w:tab w:val="left" w:pos="993"/>
        </w:tabs>
      </w:pPr>
      <w:r>
        <w:t>13.3</w:t>
      </w:r>
      <w:r>
        <w:tab/>
      </w:r>
      <w:r w:rsidR="00356EB8">
        <w:t>Who is the employer?</w:t>
      </w:r>
    </w:p>
    <w:p w14:paraId="49BE2CC1" w14:textId="10E9EA40" w:rsidR="00356EB8" w:rsidRDefault="00356EB8" w:rsidP="00666812">
      <w:pPr>
        <w:pStyle w:val="BodyText"/>
      </w:pPr>
      <w:r>
        <w:t>The</w:t>
      </w:r>
      <w:r w:rsidRPr="001D7E04">
        <w:t xml:space="preserve"> committee is the employer, not </w:t>
      </w:r>
      <w:r>
        <w:t>the department</w:t>
      </w:r>
      <w:r w:rsidRPr="001D7E04">
        <w:t xml:space="preserve"> or the </w:t>
      </w:r>
      <w:r w:rsidR="00D762FF">
        <w:t>Victorian</w:t>
      </w:r>
      <w:r w:rsidR="00D762FF" w:rsidRPr="001D7E04">
        <w:t xml:space="preserve"> </w:t>
      </w:r>
      <w:r w:rsidR="00D762FF">
        <w:t>G</w:t>
      </w:r>
      <w:r w:rsidRPr="001D7E04">
        <w:t xml:space="preserve">overnment. </w:t>
      </w:r>
      <w:r>
        <w:t xml:space="preserve">This means that the committee must meet all the legal obligations of an employer. </w:t>
      </w:r>
    </w:p>
    <w:p w14:paraId="1FC7B7C4" w14:textId="5106C73C" w:rsidR="00356EB8" w:rsidRPr="001D7E04" w:rsidRDefault="00453E2C" w:rsidP="00453E2C">
      <w:pPr>
        <w:pStyle w:val="Heading1"/>
        <w:tabs>
          <w:tab w:val="left" w:pos="993"/>
        </w:tabs>
      </w:pPr>
      <w:r>
        <w:t>13.4</w:t>
      </w:r>
      <w:r>
        <w:tab/>
      </w:r>
      <w:r w:rsidR="00356EB8">
        <w:t>Obligations of employers</w:t>
      </w:r>
    </w:p>
    <w:p w14:paraId="4BE190E6" w14:textId="77777777" w:rsidR="00356EB8" w:rsidRDefault="00356EB8" w:rsidP="00666812">
      <w:pPr>
        <w:pStyle w:val="BodyText"/>
      </w:pPr>
      <w:r>
        <w:t>Your committee must meet its obligations to each person it employs, regardless of whether they are:</w:t>
      </w:r>
    </w:p>
    <w:p w14:paraId="2780B853" w14:textId="620721AB" w:rsidR="00356EB8" w:rsidRDefault="00D762FF" w:rsidP="0068606E">
      <w:pPr>
        <w:pStyle w:val="BodyText"/>
        <w:numPr>
          <w:ilvl w:val="0"/>
          <w:numId w:val="26"/>
        </w:numPr>
      </w:pPr>
      <w:r>
        <w:t>f</w:t>
      </w:r>
      <w:r w:rsidR="00356EB8">
        <w:t>ull</w:t>
      </w:r>
      <w:r>
        <w:t>-</w:t>
      </w:r>
      <w:r w:rsidR="00356EB8">
        <w:t>time or part</w:t>
      </w:r>
      <w:r>
        <w:t>-</w:t>
      </w:r>
      <w:r w:rsidR="00356EB8">
        <w:t>time</w:t>
      </w:r>
    </w:p>
    <w:p w14:paraId="102C09CB" w14:textId="46A39442" w:rsidR="00356EB8" w:rsidRDefault="00356EB8" w:rsidP="0068606E">
      <w:pPr>
        <w:pStyle w:val="BodyText"/>
        <w:numPr>
          <w:ilvl w:val="0"/>
          <w:numId w:val="26"/>
        </w:numPr>
      </w:pPr>
      <w:r>
        <w:t>ongoing, fixed</w:t>
      </w:r>
      <w:r w:rsidR="00D762FF">
        <w:t>-</w:t>
      </w:r>
      <w:r>
        <w:t>term, or employed on a casual basis.</w:t>
      </w:r>
    </w:p>
    <w:p w14:paraId="048068B9" w14:textId="3871CC55" w:rsidR="00356EB8" w:rsidRDefault="00356EB8" w:rsidP="00666812">
      <w:pPr>
        <w:pStyle w:val="BodyText"/>
      </w:pPr>
      <w:r>
        <w:t xml:space="preserve">Some of the key obligations and </w:t>
      </w:r>
      <w:r w:rsidR="007422FE">
        <w:t xml:space="preserve">recommended </w:t>
      </w:r>
      <w:r>
        <w:t xml:space="preserve">workplace practices of an employer are set out </w:t>
      </w:r>
      <w:r w:rsidR="00861D7B" w:rsidRPr="009F71D9">
        <w:t xml:space="preserve">in </w:t>
      </w:r>
      <w:r w:rsidR="009B12ED" w:rsidRPr="009F71D9">
        <w:t xml:space="preserve">the </w:t>
      </w:r>
      <w:r w:rsidR="00861D7B" w:rsidRPr="009F71D9">
        <w:t xml:space="preserve">following </w:t>
      </w:r>
      <w:r w:rsidR="009B12ED" w:rsidRPr="009F71D9">
        <w:t>page</w:t>
      </w:r>
      <w:r w:rsidR="00861D7B" w:rsidRPr="009F71D9">
        <w:t>s</w:t>
      </w:r>
      <w:r w:rsidRPr="009F71D9">
        <w:t>.</w:t>
      </w:r>
      <w:r>
        <w:t xml:space="preserve"> </w:t>
      </w:r>
    </w:p>
    <w:p w14:paraId="4D3E289E" w14:textId="5A2C1056" w:rsidR="00356EB8" w:rsidRDefault="00453E2C" w:rsidP="00453E2C">
      <w:pPr>
        <w:pStyle w:val="Heading1"/>
        <w:tabs>
          <w:tab w:val="left" w:pos="993"/>
        </w:tabs>
      </w:pPr>
      <w:r>
        <w:lastRenderedPageBreak/>
        <w:t>13.5</w:t>
      </w:r>
      <w:r>
        <w:tab/>
      </w:r>
      <w:r w:rsidR="00356EB8">
        <w:t>Job description</w:t>
      </w:r>
    </w:p>
    <w:p w14:paraId="64A92411" w14:textId="6501B3D9" w:rsidR="00356EB8" w:rsidRDefault="004327F4" w:rsidP="00666812">
      <w:pPr>
        <w:pStyle w:val="BodyText"/>
      </w:pPr>
      <w:r w:rsidRPr="001D7E04">
        <w:t xml:space="preserve">Although </w:t>
      </w:r>
      <w:r>
        <w:t>not a legal obligation,</w:t>
      </w:r>
      <w:r w:rsidRPr="001D7E04">
        <w:t xml:space="preserve"> </w:t>
      </w:r>
      <w:r>
        <w:t>a written job description is a vital good workplace practice</w:t>
      </w:r>
      <w:r w:rsidRPr="001D7E04">
        <w:t>.</w:t>
      </w:r>
      <w:r>
        <w:t xml:space="preserve"> It</w:t>
      </w:r>
      <w:r w:rsidR="007422FE">
        <w:t xml:space="preserve"> </w:t>
      </w:r>
      <w:r w:rsidR="00D762FF">
        <w:t xml:space="preserve">helps </w:t>
      </w:r>
      <w:r w:rsidR="007422FE">
        <w:t>the committee to employ the right person for the job. It also provide</w:t>
      </w:r>
      <w:r w:rsidR="00D762FF">
        <w:t>s</w:t>
      </w:r>
      <w:r w:rsidR="00356EB8">
        <w:t xml:space="preserve"> a clear record for both the committee and the employee</w:t>
      </w:r>
      <w:r w:rsidR="00356EB8" w:rsidRPr="003438B7">
        <w:t xml:space="preserve"> </w:t>
      </w:r>
      <w:r w:rsidR="00356EB8">
        <w:t>of what the job involves</w:t>
      </w:r>
      <w:r w:rsidR="00356EB8" w:rsidRPr="003438B7">
        <w:t>.</w:t>
      </w:r>
      <w:r w:rsidR="00356EB8" w:rsidRPr="001D7E04">
        <w:t xml:space="preserve"> </w:t>
      </w:r>
    </w:p>
    <w:p w14:paraId="47D984E1" w14:textId="77777777" w:rsidR="00356EB8" w:rsidRPr="001D7E04" w:rsidRDefault="00356EB8" w:rsidP="00666812">
      <w:pPr>
        <w:pStyle w:val="BodyText"/>
      </w:pPr>
      <w:r w:rsidRPr="001D7E04">
        <w:t>A job description is a statement that includes:</w:t>
      </w:r>
    </w:p>
    <w:p w14:paraId="7ECB8A5F" w14:textId="77777777" w:rsidR="00356EB8" w:rsidRPr="003438B7" w:rsidRDefault="00356EB8" w:rsidP="0068606E">
      <w:pPr>
        <w:pStyle w:val="BodyText"/>
        <w:numPr>
          <w:ilvl w:val="0"/>
          <w:numId w:val="25"/>
        </w:numPr>
      </w:pPr>
      <w:r w:rsidRPr="003438B7">
        <w:t>the title of the job</w:t>
      </w:r>
    </w:p>
    <w:p w14:paraId="61884829" w14:textId="77777777" w:rsidR="00356EB8" w:rsidRPr="003438B7" w:rsidRDefault="00356EB8" w:rsidP="0068606E">
      <w:pPr>
        <w:pStyle w:val="BodyText"/>
        <w:numPr>
          <w:ilvl w:val="0"/>
          <w:numId w:val="25"/>
        </w:numPr>
      </w:pPr>
      <w:r w:rsidRPr="003438B7">
        <w:t>reporting and accountability requirements</w:t>
      </w:r>
    </w:p>
    <w:p w14:paraId="44452B3B" w14:textId="77777777" w:rsidR="00356EB8" w:rsidRPr="003438B7" w:rsidRDefault="00356EB8" w:rsidP="0068606E">
      <w:pPr>
        <w:pStyle w:val="BodyText"/>
        <w:numPr>
          <w:ilvl w:val="0"/>
          <w:numId w:val="25"/>
        </w:numPr>
      </w:pPr>
      <w:r w:rsidRPr="003438B7">
        <w:t>the main duties involved</w:t>
      </w:r>
    </w:p>
    <w:p w14:paraId="753A4F24" w14:textId="77777777" w:rsidR="00C140FE" w:rsidRDefault="00356EB8" w:rsidP="0068606E">
      <w:pPr>
        <w:pStyle w:val="BodyText"/>
        <w:numPr>
          <w:ilvl w:val="0"/>
          <w:numId w:val="25"/>
        </w:numPr>
      </w:pPr>
      <w:r w:rsidRPr="003438B7">
        <w:t>the skills required</w:t>
      </w:r>
    </w:p>
    <w:p w14:paraId="2C984436" w14:textId="37C1754C" w:rsidR="00356EB8" w:rsidRDefault="00C140FE" w:rsidP="0068606E">
      <w:pPr>
        <w:pStyle w:val="BodyText"/>
        <w:numPr>
          <w:ilvl w:val="0"/>
          <w:numId w:val="25"/>
        </w:numPr>
      </w:pPr>
      <w:r>
        <w:t>any other requirements of the role</w:t>
      </w:r>
      <w:r w:rsidR="008210EA">
        <w:t xml:space="preserve">, such as </w:t>
      </w:r>
      <w:r>
        <w:t>a driver’s licence</w:t>
      </w:r>
    </w:p>
    <w:p w14:paraId="712C9D2D" w14:textId="2B2FB687" w:rsidR="009E1ADF" w:rsidRDefault="009E1ADF" w:rsidP="0068606E">
      <w:pPr>
        <w:pStyle w:val="BodyText"/>
        <w:numPr>
          <w:ilvl w:val="0"/>
          <w:numId w:val="25"/>
        </w:numPr>
      </w:pPr>
      <w:r>
        <w:t>length of employment, for example, two</w:t>
      </w:r>
      <w:r w:rsidR="008210EA">
        <w:t>-</w:t>
      </w:r>
      <w:r>
        <w:t>year fixed</w:t>
      </w:r>
      <w:r w:rsidR="008210EA">
        <w:t>-</w:t>
      </w:r>
      <w:r>
        <w:t>term contract.</w:t>
      </w:r>
    </w:p>
    <w:p w14:paraId="6096A827" w14:textId="2CC5A614" w:rsidR="009E1ADF" w:rsidRPr="003438B7" w:rsidRDefault="009E1ADF" w:rsidP="00A662DA">
      <w:pPr>
        <w:pStyle w:val="BodyText"/>
      </w:pPr>
      <w:r>
        <w:t xml:space="preserve">Where appropriate, </w:t>
      </w:r>
      <w:r w:rsidR="000F09FF">
        <w:t xml:space="preserve">additional information such as </w:t>
      </w:r>
      <w:r>
        <w:t xml:space="preserve">the pay grade </w:t>
      </w:r>
      <w:r w:rsidR="003C4395">
        <w:t xml:space="preserve">can be included </w:t>
      </w:r>
      <w:r>
        <w:t>in the job description.</w:t>
      </w:r>
    </w:p>
    <w:p w14:paraId="4DA85A32" w14:textId="6F88A8EB" w:rsidR="00D7498B" w:rsidRDefault="00453E2C" w:rsidP="00453E2C">
      <w:pPr>
        <w:pStyle w:val="Heading1"/>
        <w:tabs>
          <w:tab w:val="left" w:pos="993"/>
        </w:tabs>
      </w:pPr>
      <w:bookmarkStart w:id="3" w:name="_Hlk27126392"/>
      <w:r>
        <w:t>13.6</w:t>
      </w:r>
      <w:r>
        <w:tab/>
      </w:r>
      <w:r w:rsidR="00D7498B">
        <w:t xml:space="preserve">Victorian Public Sector </w:t>
      </w:r>
      <w:r w:rsidR="00462E48">
        <w:t>requirements</w:t>
      </w:r>
    </w:p>
    <w:p w14:paraId="55FFE198" w14:textId="1E42EFC6" w:rsidR="007440C8" w:rsidRDefault="00873FD3" w:rsidP="00D7498B">
      <w:pPr>
        <w:pStyle w:val="BodyText"/>
        <w:rPr>
          <w:lang w:eastAsia="en-AU"/>
        </w:rPr>
      </w:pPr>
      <w:r>
        <w:rPr>
          <w:lang w:eastAsia="en-AU"/>
        </w:rPr>
        <w:t xml:space="preserve">Almost all </w:t>
      </w:r>
      <w:r w:rsidR="00D7498B">
        <w:rPr>
          <w:lang w:eastAsia="en-AU"/>
        </w:rPr>
        <w:t xml:space="preserve">committees are </w:t>
      </w:r>
      <w:r w:rsidR="00D7498B" w:rsidRPr="00C256E0">
        <w:rPr>
          <w:b/>
          <w:lang w:eastAsia="en-AU"/>
        </w:rPr>
        <w:t>public entities</w:t>
      </w:r>
      <w:r w:rsidR="0030357E">
        <w:rPr>
          <w:lang w:eastAsia="en-AU"/>
        </w:rPr>
        <w:t xml:space="preserve"> This </w:t>
      </w:r>
      <w:r w:rsidR="00D7498B">
        <w:rPr>
          <w:lang w:eastAsia="en-AU"/>
        </w:rPr>
        <w:t xml:space="preserve">means they are subject to the </w:t>
      </w:r>
      <w:r w:rsidR="00D7498B" w:rsidRPr="001B680F">
        <w:rPr>
          <w:i/>
          <w:lang w:eastAsia="en-AU"/>
        </w:rPr>
        <w:t>Public Administration Act</w:t>
      </w:r>
      <w:r w:rsidR="00D7498B">
        <w:rPr>
          <w:lang w:eastAsia="en-AU"/>
        </w:rPr>
        <w:t xml:space="preserve"> </w:t>
      </w:r>
      <w:r w:rsidR="00D7498B" w:rsidRPr="00A662DA">
        <w:rPr>
          <w:i/>
          <w:lang w:eastAsia="en-AU"/>
        </w:rPr>
        <w:t>2004</w:t>
      </w:r>
      <w:r w:rsidR="00A37A1A">
        <w:rPr>
          <w:lang w:eastAsia="en-AU"/>
        </w:rPr>
        <w:t>. For example:</w:t>
      </w:r>
    </w:p>
    <w:p w14:paraId="34F22F18" w14:textId="79355A39" w:rsidR="007440C8" w:rsidRDefault="007440C8" w:rsidP="0068606E">
      <w:pPr>
        <w:pStyle w:val="BodyText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 xml:space="preserve">The committee must treat </w:t>
      </w:r>
      <w:r w:rsidR="004327F4">
        <w:rPr>
          <w:lang w:eastAsia="en-AU"/>
        </w:rPr>
        <w:t xml:space="preserve">its </w:t>
      </w:r>
      <w:r w:rsidR="00BF12A1">
        <w:rPr>
          <w:lang w:eastAsia="en-AU"/>
        </w:rPr>
        <w:t xml:space="preserve">employees </w:t>
      </w:r>
      <w:r w:rsidR="008210EA">
        <w:rPr>
          <w:lang w:eastAsia="en-AU"/>
        </w:rPr>
        <w:t>in line with</w:t>
      </w:r>
      <w:r>
        <w:rPr>
          <w:lang w:eastAsia="en-AU"/>
        </w:rPr>
        <w:t xml:space="preserve"> the public sector employment principles in section 8 of the </w:t>
      </w:r>
      <w:r w:rsidR="004327F4">
        <w:rPr>
          <w:lang w:eastAsia="en-AU"/>
        </w:rPr>
        <w:t>Act</w:t>
      </w:r>
      <w:r w:rsidR="00BF12A1">
        <w:rPr>
          <w:lang w:eastAsia="en-AU"/>
        </w:rPr>
        <w:t xml:space="preserve">. </w:t>
      </w:r>
      <w:r w:rsidR="004327F4">
        <w:t xml:space="preserve">Employment decisions must be based on merit; employees must be treated fairly and reasonably; equal employment opportunity must be provided; the human rights charter must be upheld; </w:t>
      </w:r>
      <w:r w:rsidR="004B0E42">
        <w:t xml:space="preserve">and </w:t>
      </w:r>
      <w:r w:rsidR="004327F4">
        <w:t>there must be a reasonable avenue of redress against unfair or unreasonable treatment</w:t>
      </w:r>
      <w:r w:rsidR="008210EA">
        <w:t>.</w:t>
      </w:r>
    </w:p>
    <w:p w14:paraId="3C36EB30" w14:textId="03BD3646" w:rsidR="004B130A" w:rsidRPr="002F10E6" w:rsidRDefault="007440C8" w:rsidP="0068606E">
      <w:pPr>
        <w:pStyle w:val="BodyText"/>
        <w:numPr>
          <w:ilvl w:val="0"/>
          <w:numId w:val="20"/>
        </w:numPr>
        <w:spacing w:after="160"/>
        <w:ind w:left="714" w:hanging="357"/>
        <w:rPr>
          <w:lang w:eastAsia="en-AU"/>
        </w:rPr>
      </w:pPr>
      <w:r w:rsidRPr="002F10E6">
        <w:rPr>
          <w:lang w:eastAsia="en-AU"/>
        </w:rPr>
        <w:t xml:space="preserve">Employees must follow the </w:t>
      </w:r>
      <w:hyperlink r:id="rId14" w:history="1">
        <w:r w:rsidRPr="002F10E6">
          <w:rPr>
            <w:rStyle w:val="Hyperlink"/>
            <w:lang w:eastAsia="en-AU"/>
          </w:rPr>
          <w:t xml:space="preserve">Code of conduct for </w:t>
        </w:r>
        <w:r w:rsidR="008555BA" w:rsidRPr="002F10E6">
          <w:rPr>
            <w:rStyle w:val="Hyperlink"/>
            <w:lang w:eastAsia="en-AU"/>
          </w:rPr>
          <w:t xml:space="preserve">Victorian public </w:t>
        </w:r>
        <w:r w:rsidR="004B130A" w:rsidRPr="002F10E6">
          <w:rPr>
            <w:rStyle w:val="Hyperlink"/>
            <w:lang w:eastAsia="en-AU"/>
          </w:rPr>
          <w:t>sector employees</w:t>
        </w:r>
      </w:hyperlink>
      <w:r w:rsidR="004B0E42">
        <w:rPr>
          <w:rStyle w:val="Hyperlink"/>
          <w:lang w:eastAsia="en-AU"/>
        </w:rPr>
        <w:t>.</w:t>
      </w:r>
    </w:p>
    <w:p w14:paraId="4118D8EA" w14:textId="0D727E77" w:rsidR="005D4711" w:rsidRDefault="004B130A" w:rsidP="00666812">
      <w:pPr>
        <w:pStyle w:val="BodyText"/>
      </w:pPr>
      <w:r w:rsidRPr="002F10E6">
        <w:t xml:space="preserve">The </w:t>
      </w:r>
      <w:r w:rsidR="0014461C">
        <w:t xml:space="preserve">Victorian Public Sector Commission </w:t>
      </w:r>
      <w:r w:rsidRPr="002F10E6">
        <w:t xml:space="preserve">has </w:t>
      </w:r>
      <w:r w:rsidRPr="00666812">
        <w:t>issue</w:t>
      </w:r>
      <w:r w:rsidR="00A65CFF" w:rsidRPr="00666812">
        <w:t>d</w:t>
      </w:r>
      <w:r w:rsidRPr="00666812">
        <w:t xml:space="preserve"> </w:t>
      </w:r>
      <w:hyperlink r:id="rId15" w:history="1">
        <w:r w:rsidRPr="00666812">
          <w:rPr>
            <w:rStyle w:val="Hyperlink"/>
            <w:lang w:eastAsia="en-AU"/>
          </w:rPr>
          <w:t>guidanc</w:t>
        </w:r>
        <w:r w:rsidR="00B16749" w:rsidRPr="00666812">
          <w:rPr>
            <w:rStyle w:val="Hyperlink"/>
            <w:lang w:eastAsia="en-AU"/>
          </w:rPr>
          <w:t>e</w:t>
        </w:r>
      </w:hyperlink>
      <w:r w:rsidRPr="00666812">
        <w:t xml:space="preserve"> </w:t>
      </w:r>
      <w:r w:rsidR="00010ECD" w:rsidRPr="00666812">
        <w:t>for</w:t>
      </w:r>
      <w:r w:rsidR="00010ECD">
        <w:t xml:space="preserve"> </w:t>
      </w:r>
      <w:r w:rsidR="00A65CFF">
        <w:t xml:space="preserve">public sector </w:t>
      </w:r>
      <w:r w:rsidR="00B16749">
        <w:t>employers and employees about</w:t>
      </w:r>
      <w:r w:rsidRPr="002F10E6">
        <w:t xml:space="preserve"> the</w:t>
      </w:r>
      <w:r w:rsidR="00F66991">
        <w:t>ir respective</w:t>
      </w:r>
      <w:r w:rsidRPr="002F10E6">
        <w:t xml:space="preserve"> requirements.</w:t>
      </w:r>
    </w:p>
    <w:p w14:paraId="5F5016FC" w14:textId="37C3315D" w:rsidR="0030357E" w:rsidRDefault="0030357E" w:rsidP="00897756">
      <w:pPr>
        <w:pStyle w:val="BodyText"/>
      </w:pPr>
      <w:r w:rsidRPr="006B6204">
        <w:t xml:space="preserve">The small percentage of committees which are not public entities have similar standards and codes of conduct under different regulatory regimes. Your committee can contact its local DELWP </w:t>
      </w:r>
      <w:hyperlink r:id="rId16" w:history="1">
        <w:r w:rsidRPr="006B6204">
          <w:rPr>
            <w:rStyle w:val="Hyperlink"/>
          </w:rPr>
          <w:t>regional office</w:t>
        </w:r>
      </w:hyperlink>
      <w:r w:rsidRPr="006B6204">
        <w:t xml:space="preserve"> for further information.</w:t>
      </w:r>
      <w:bookmarkEnd w:id="3"/>
    </w:p>
    <w:p w14:paraId="05F26121" w14:textId="77C518AA" w:rsidR="007440C8" w:rsidRDefault="00453E2C" w:rsidP="00453E2C">
      <w:pPr>
        <w:pStyle w:val="Heading1"/>
        <w:numPr>
          <w:ilvl w:val="0"/>
          <w:numId w:val="0"/>
        </w:numPr>
        <w:tabs>
          <w:tab w:val="left" w:pos="993"/>
        </w:tabs>
      </w:pPr>
      <w:r>
        <w:t>13.7</w:t>
      </w:r>
      <w:r>
        <w:tab/>
      </w:r>
      <w:r w:rsidR="00DB1721">
        <w:t>E</w:t>
      </w:r>
      <w:r w:rsidR="007440C8">
        <w:t>xecutive</w:t>
      </w:r>
      <w:r w:rsidR="00DB1721">
        <w:t xml:space="preserve"> employee</w:t>
      </w:r>
      <w:r w:rsidR="007440C8">
        <w:t>s</w:t>
      </w:r>
    </w:p>
    <w:p w14:paraId="156AE7F1" w14:textId="1A7990FB" w:rsidR="008555BA" w:rsidRDefault="008555BA" w:rsidP="00666812">
      <w:pPr>
        <w:pStyle w:val="BodyText"/>
        <w:rPr>
          <w:lang w:eastAsia="en-AU"/>
        </w:rPr>
      </w:pPr>
      <w:r>
        <w:rPr>
          <w:lang w:val="en-US"/>
        </w:rPr>
        <w:t xml:space="preserve">The </w:t>
      </w:r>
      <w:r w:rsidR="004327F4">
        <w:t xml:space="preserve">Victorian Public Sector Commission </w:t>
      </w:r>
      <w:r w:rsidRPr="009211A4">
        <w:rPr>
          <w:lang w:val="en-US"/>
        </w:rPr>
        <w:t xml:space="preserve">provides advice on </w:t>
      </w:r>
      <w:r w:rsidR="007B6232">
        <w:rPr>
          <w:lang w:val="en-US"/>
        </w:rPr>
        <w:t xml:space="preserve">executive </w:t>
      </w:r>
      <w:r w:rsidRPr="009211A4">
        <w:rPr>
          <w:lang w:val="en-US"/>
        </w:rPr>
        <w:t>employment.</w:t>
      </w:r>
    </w:p>
    <w:p w14:paraId="4355F09B" w14:textId="6C9F2A1C" w:rsidR="007440C8" w:rsidRDefault="002A53DB" w:rsidP="0068606E">
      <w:pPr>
        <w:pStyle w:val="BodyText"/>
        <w:numPr>
          <w:ilvl w:val="0"/>
          <w:numId w:val="24"/>
        </w:numPr>
      </w:pPr>
      <w:r>
        <w:t>The</w:t>
      </w:r>
      <w:r w:rsidR="00B07785">
        <w:t xml:space="preserve"> </w:t>
      </w:r>
      <w:hyperlink r:id="rId17" w:history="1">
        <w:r w:rsidR="00010ECD">
          <w:rPr>
            <w:rStyle w:val="Hyperlink"/>
            <w:lang w:eastAsia="en-AU"/>
          </w:rPr>
          <w:t>public entity e</w:t>
        </w:r>
        <w:r w:rsidR="007440C8" w:rsidRPr="002A53DB">
          <w:rPr>
            <w:rStyle w:val="Hyperlink"/>
            <w:lang w:eastAsia="en-AU"/>
          </w:rPr>
          <w:t>xecutive resource suite</w:t>
        </w:r>
      </w:hyperlink>
      <w:r w:rsidR="007440C8">
        <w:t xml:space="preserve"> </w:t>
      </w:r>
      <w:r w:rsidR="007B6232">
        <w:t>contains</w:t>
      </w:r>
      <w:r w:rsidR="007440C8">
        <w:t xml:space="preserve"> </w:t>
      </w:r>
      <w:r>
        <w:t xml:space="preserve">information such as </w:t>
      </w:r>
      <w:r w:rsidRPr="002A53DB">
        <w:t xml:space="preserve">managing </w:t>
      </w:r>
      <w:r w:rsidR="0014461C">
        <w:t xml:space="preserve">executive </w:t>
      </w:r>
      <w:r w:rsidRPr="002A53DB">
        <w:t>employment contracts, remuneration and employment</w:t>
      </w:r>
      <w:r>
        <w:t>.</w:t>
      </w:r>
      <w:r w:rsidR="004B1718">
        <w:t xml:space="preserve"> </w:t>
      </w:r>
      <w:r>
        <w:t>There is also a standard executive employment contract.</w:t>
      </w:r>
    </w:p>
    <w:p w14:paraId="286F3E2A" w14:textId="69B104A9" w:rsidR="008555BA" w:rsidRDefault="008555BA" w:rsidP="0068606E">
      <w:pPr>
        <w:pStyle w:val="BodyText"/>
        <w:numPr>
          <w:ilvl w:val="0"/>
          <w:numId w:val="24"/>
        </w:numPr>
      </w:pPr>
      <w:r>
        <w:t>There must be an annual performance assessment of all executives.</w:t>
      </w:r>
    </w:p>
    <w:p w14:paraId="11389FB2" w14:textId="26940BCE" w:rsidR="007440C8" w:rsidRPr="00857628" w:rsidRDefault="008555BA" w:rsidP="0068606E">
      <w:pPr>
        <w:pStyle w:val="BodyText"/>
        <w:numPr>
          <w:ilvl w:val="0"/>
          <w:numId w:val="24"/>
        </w:numPr>
        <w:rPr>
          <w:rFonts w:cstheme="minorHAnsi"/>
          <w:lang w:val="en-US"/>
        </w:rPr>
      </w:pPr>
      <w:r>
        <w:rPr>
          <w:rFonts w:cstheme="minorHAnsi"/>
        </w:rPr>
        <w:t xml:space="preserve">The Victorian </w:t>
      </w:r>
      <w:r w:rsidR="008210EA">
        <w:rPr>
          <w:rFonts w:cstheme="minorHAnsi"/>
        </w:rPr>
        <w:t>G</w:t>
      </w:r>
      <w:r>
        <w:rPr>
          <w:rFonts w:cstheme="minorHAnsi"/>
        </w:rPr>
        <w:t xml:space="preserve">overnment sets </w:t>
      </w:r>
      <w:r w:rsidR="00556342">
        <w:rPr>
          <w:rFonts w:cstheme="minorHAnsi"/>
        </w:rPr>
        <w:t>binding</w:t>
      </w:r>
      <w:r w:rsidR="00B07785" w:rsidRPr="009211A4">
        <w:rPr>
          <w:rFonts w:cstheme="minorHAnsi"/>
        </w:rPr>
        <w:t xml:space="preserve"> level</w:t>
      </w:r>
      <w:r>
        <w:rPr>
          <w:rFonts w:cstheme="minorHAnsi"/>
        </w:rPr>
        <w:t>s</w:t>
      </w:r>
      <w:r w:rsidR="00B07785" w:rsidRPr="009211A4">
        <w:rPr>
          <w:rFonts w:cstheme="minorHAnsi"/>
        </w:rPr>
        <w:t xml:space="preserve"> of </w:t>
      </w:r>
      <w:hyperlink r:id="rId18" w:history="1">
        <w:r w:rsidR="00B07785" w:rsidRPr="009211A4">
          <w:rPr>
            <w:rStyle w:val="Hyperlink"/>
            <w:rFonts w:cstheme="minorHAnsi"/>
          </w:rPr>
          <w:t>executive remuneration</w:t>
        </w:r>
      </w:hyperlink>
      <w:r w:rsidR="00B07785" w:rsidRPr="009211A4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="00B07785" w:rsidRPr="009211A4">
        <w:rPr>
          <w:rFonts w:cstheme="minorHAnsi"/>
        </w:rPr>
        <w:t xml:space="preserve"> public </w:t>
      </w:r>
      <w:r w:rsidR="00857628">
        <w:rPr>
          <w:rFonts w:cstheme="minorHAnsi"/>
        </w:rPr>
        <w:t>entities</w:t>
      </w:r>
      <w:r w:rsidR="00D0346B" w:rsidRPr="009211A4">
        <w:rPr>
          <w:rFonts w:cstheme="minorHAnsi"/>
        </w:rPr>
        <w:t xml:space="preserve">. </w:t>
      </w:r>
      <w:r w:rsidR="0062020C">
        <w:t xml:space="preserve">This process is </w:t>
      </w:r>
      <w:r w:rsidR="0062020C">
        <w:rPr>
          <w:lang w:val="en-US"/>
        </w:rPr>
        <w:t xml:space="preserve">managed by the </w:t>
      </w:r>
      <w:hyperlink r:id="rId19" w:history="1">
        <w:r w:rsidR="0062020C">
          <w:rPr>
            <w:rStyle w:val="Hyperlink"/>
            <w:lang w:val="en-US"/>
          </w:rPr>
          <w:t>Victorian Independent Remuneration Tribunal</w:t>
        </w:r>
      </w:hyperlink>
      <w:r w:rsidR="0062020C">
        <w:rPr>
          <w:lang w:val="en-US"/>
        </w:rPr>
        <w:t>.</w:t>
      </w:r>
      <w:bookmarkStart w:id="4" w:name="_GoBack"/>
      <w:bookmarkEnd w:id="4"/>
    </w:p>
    <w:p w14:paraId="2C398431" w14:textId="0FEFA9F1" w:rsidR="002A53DB" w:rsidRPr="007440C8" w:rsidRDefault="008210EA" w:rsidP="00666812">
      <w:pPr>
        <w:pStyle w:val="BodyText"/>
        <w:rPr>
          <w:lang w:eastAsia="en-AU"/>
        </w:rPr>
      </w:pPr>
      <w:r>
        <w:rPr>
          <w:lang w:val="en-US"/>
        </w:rPr>
        <w:t>C</w:t>
      </w:r>
      <w:r w:rsidR="002A53DB">
        <w:rPr>
          <w:lang w:val="en-US"/>
        </w:rPr>
        <w:t xml:space="preserve">all the </w:t>
      </w:r>
      <w:r w:rsidR="004327F4">
        <w:t xml:space="preserve">Victorian Public Sector Commission </w:t>
      </w:r>
      <w:r w:rsidR="002A53DB">
        <w:rPr>
          <w:lang w:val="en-US"/>
        </w:rPr>
        <w:t>on 03 9651 2020</w:t>
      </w:r>
      <w:r>
        <w:rPr>
          <w:lang w:val="en-US"/>
        </w:rPr>
        <w:t xml:space="preserve"> with questions on executive employment.</w:t>
      </w:r>
    </w:p>
    <w:p w14:paraId="2102C650" w14:textId="77777777" w:rsidR="00B45B79" w:rsidRDefault="00B45B79">
      <w:pPr>
        <w:rPr>
          <w:b/>
          <w:bCs/>
          <w:color w:val="EA7200" w:themeColor="text2"/>
          <w:kern w:val="32"/>
          <w:sz w:val="36"/>
          <w:szCs w:val="32"/>
        </w:rPr>
      </w:pPr>
      <w:r>
        <w:br w:type="page"/>
      </w:r>
    </w:p>
    <w:p w14:paraId="42CAA8FE" w14:textId="6A42D56E" w:rsidR="00DB1721" w:rsidRDefault="00453E2C" w:rsidP="00453E2C">
      <w:pPr>
        <w:pStyle w:val="Heading1"/>
        <w:tabs>
          <w:tab w:val="left" w:pos="993"/>
        </w:tabs>
      </w:pPr>
      <w:r>
        <w:lastRenderedPageBreak/>
        <w:t>13.8</w:t>
      </w:r>
      <w:r>
        <w:tab/>
      </w:r>
      <w:r w:rsidR="00DB1721">
        <w:t>Other employees</w:t>
      </w:r>
      <w:r w:rsidR="00FC52A5">
        <w:t xml:space="preserve"> – </w:t>
      </w:r>
      <w:r w:rsidR="00467F7A">
        <w:t>wages</w:t>
      </w:r>
      <w:r w:rsidR="00FC52A5">
        <w:t xml:space="preserve"> and conditions</w:t>
      </w:r>
    </w:p>
    <w:p w14:paraId="2B145C52" w14:textId="3B4093A6" w:rsidR="00C565AE" w:rsidRDefault="00FC52A5" w:rsidP="00467F7A">
      <w:pPr>
        <w:pStyle w:val="Body"/>
      </w:pPr>
      <w:r>
        <w:t xml:space="preserve">The </w:t>
      </w:r>
      <w:r w:rsidR="00467F7A">
        <w:t xml:space="preserve">minimum </w:t>
      </w:r>
      <w:r>
        <w:t xml:space="preserve">wages and other </w:t>
      </w:r>
      <w:r w:rsidR="00467F7A">
        <w:t xml:space="preserve">minimum </w:t>
      </w:r>
      <w:r>
        <w:t xml:space="preserve">terms and conditions </w:t>
      </w:r>
      <w:r w:rsidR="008210EA">
        <w:t>for</w:t>
      </w:r>
      <w:r w:rsidR="0068606E">
        <w:t xml:space="preserve"> a non-executive employee of the committee </w:t>
      </w:r>
      <w:r w:rsidR="00467F7A">
        <w:t>are</w:t>
      </w:r>
      <w:r>
        <w:t xml:space="preserve"> set out </w:t>
      </w:r>
      <w:r w:rsidR="005B7487">
        <w:t>in</w:t>
      </w:r>
      <w:r w:rsidR="00C565AE">
        <w:t>:</w:t>
      </w:r>
    </w:p>
    <w:p w14:paraId="00D3DF65" w14:textId="359BA8FC" w:rsidR="00A33FF0" w:rsidRDefault="00C565AE" w:rsidP="0068606E">
      <w:pPr>
        <w:pStyle w:val="BodyText"/>
        <w:numPr>
          <w:ilvl w:val="0"/>
          <w:numId w:val="23"/>
        </w:numPr>
      </w:pPr>
      <w:r>
        <w:t xml:space="preserve">an </w:t>
      </w:r>
      <w:r w:rsidR="00467F7A">
        <w:t xml:space="preserve">industrial </w:t>
      </w:r>
      <w:r>
        <w:t>award</w:t>
      </w:r>
      <w:r w:rsidR="005B7487">
        <w:t>, or</w:t>
      </w:r>
      <w:r>
        <w:t xml:space="preserve"> </w:t>
      </w:r>
    </w:p>
    <w:p w14:paraId="4DC87D02" w14:textId="28E018B8" w:rsidR="00467F7A" w:rsidRDefault="005B7487" w:rsidP="00467F7A">
      <w:pPr>
        <w:pStyle w:val="BodyText"/>
        <w:numPr>
          <w:ilvl w:val="0"/>
          <w:numId w:val="23"/>
        </w:numPr>
      </w:pPr>
      <w:r>
        <w:t xml:space="preserve">an </w:t>
      </w:r>
      <w:r w:rsidR="00A33FF0">
        <w:t>enterprise agreement</w:t>
      </w:r>
      <w:r w:rsidR="00467F7A">
        <w:t>.</w:t>
      </w:r>
      <w:r w:rsidR="004B1718">
        <w:t xml:space="preserve"> </w:t>
      </w:r>
    </w:p>
    <w:p w14:paraId="75B8DEC7" w14:textId="39E26FE4" w:rsidR="0073098C" w:rsidRDefault="004845FF" w:rsidP="0073098C">
      <w:pPr>
        <w:pStyle w:val="BodyText"/>
      </w:pPr>
      <w:r>
        <w:t>At a minimum, t</w:t>
      </w:r>
      <w:r w:rsidR="00FF2EF9">
        <w:t xml:space="preserve">he </w:t>
      </w:r>
      <w:r w:rsidR="00B17852">
        <w:t xml:space="preserve">terms and conditions of the </w:t>
      </w:r>
      <w:r w:rsidR="00FF2EF9">
        <w:t xml:space="preserve">award or enterprise agreement </w:t>
      </w:r>
      <w:r w:rsidR="00B17852">
        <w:t xml:space="preserve">must </w:t>
      </w:r>
      <w:r w:rsidR="00FE0E66">
        <w:t xml:space="preserve">meet the minimum </w:t>
      </w:r>
      <w:r w:rsidR="00017E49">
        <w:t xml:space="preserve">terms and conditions </w:t>
      </w:r>
      <w:r w:rsidR="00FE0E66">
        <w:t>in the</w:t>
      </w:r>
      <w:r w:rsidR="0073098C">
        <w:t xml:space="preserve"> </w:t>
      </w:r>
      <w:hyperlink r:id="rId20" w:history="1">
        <w:r w:rsidR="0073098C" w:rsidRPr="003942C6">
          <w:rPr>
            <w:rStyle w:val="Hyperlink"/>
          </w:rPr>
          <w:t>National Employment Standards</w:t>
        </w:r>
      </w:hyperlink>
      <w:r w:rsidR="00FE0E66">
        <w:t xml:space="preserve"> </w:t>
      </w:r>
      <w:r w:rsidR="0073098C">
        <w:t xml:space="preserve">and </w:t>
      </w:r>
      <w:r w:rsidR="00FE0E66">
        <w:t xml:space="preserve">the national </w:t>
      </w:r>
      <w:r w:rsidR="0073098C">
        <w:t>minimum wage</w:t>
      </w:r>
      <w:r w:rsidR="00FE0E66">
        <w:t>.</w:t>
      </w:r>
    </w:p>
    <w:p w14:paraId="1BD57A34" w14:textId="3EEB6335" w:rsidR="000939B0" w:rsidRDefault="000939B0" w:rsidP="004F6550">
      <w:pPr>
        <w:pStyle w:val="Heading3"/>
      </w:pPr>
      <w:r>
        <w:t>National Employment Standards</w:t>
      </w:r>
    </w:p>
    <w:p w14:paraId="335A49D9" w14:textId="33082601" w:rsidR="000939B0" w:rsidRPr="00943114" w:rsidRDefault="000939B0" w:rsidP="00666812">
      <w:pPr>
        <w:pStyle w:val="BodyText"/>
        <w:rPr>
          <w:lang w:val="en"/>
        </w:rPr>
      </w:pPr>
      <w:r>
        <w:rPr>
          <w:lang w:val="en"/>
        </w:rPr>
        <w:t xml:space="preserve">The national minimum wage and the </w:t>
      </w:r>
      <w:r w:rsidR="001A3059">
        <w:rPr>
          <w:lang w:val="en"/>
        </w:rPr>
        <w:t xml:space="preserve">national employment standards </w:t>
      </w:r>
      <w:r w:rsidR="00F101F5">
        <w:rPr>
          <w:lang w:val="en"/>
        </w:rPr>
        <w:t>are</w:t>
      </w:r>
      <w:r>
        <w:rPr>
          <w:lang w:val="en"/>
        </w:rPr>
        <w:t xml:space="preserve"> the </w:t>
      </w:r>
      <w:r w:rsidRPr="00A662DA">
        <w:rPr>
          <w:b/>
          <w:lang w:val="en"/>
        </w:rPr>
        <w:t>minimum entitlements</w:t>
      </w:r>
      <w:r>
        <w:rPr>
          <w:lang w:val="en"/>
        </w:rPr>
        <w:t xml:space="preserve"> for employees in Australia. </w:t>
      </w:r>
      <w:r w:rsidRPr="00513F20">
        <w:rPr>
          <w:color w:val="auto"/>
        </w:rPr>
        <w:t>The</w:t>
      </w:r>
      <w:r w:rsidR="002D2793">
        <w:rPr>
          <w:color w:val="auto"/>
        </w:rPr>
        <w:t xml:space="preserve"> </w:t>
      </w:r>
      <w:r w:rsidR="001A3059">
        <w:rPr>
          <w:color w:val="auto"/>
        </w:rPr>
        <w:t xml:space="preserve">national employment standards </w:t>
      </w:r>
      <w:r w:rsidR="002D2793">
        <w:rPr>
          <w:color w:val="auto"/>
        </w:rPr>
        <w:t xml:space="preserve">set out </w:t>
      </w:r>
      <w:hyperlink r:id="rId21" w:history="1">
        <w:r w:rsidRPr="00125760">
          <w:rPr>
            <w:rStyle w:val="Hyperlink"/>
          </w:rPr>
          <w:t>10</w:t>
        </w:r>
        <w:r w:rsidR="00125760" w:rsidRPr="00125760">
          <w:rPr>
            <w:rStyle w:val="Hyperlink"/>
          </w:rPr>
          <w:t xml:space="preserve"> </w:t>
        </w:r>
        <w:r w:rsidRPr="00125760">
          <w:rPr>
            <w:rStyle w:val="Hyperlink"/>
          </w:rPr>
          <w:t>minimum terms and conditions of employment</w:t>
        </w:r>
      </w:hyperlink>
      <w:r w:rsidR="00943114">
        <w:rPr>
          <w:rStyle w:val="Hyperlink"/>
        </w:rPr>
        <w:t>.</w:t>
      </w:r>
      <w:r w:rsidRPr="00513F20">
        <w:rPr>
          <w:color w:val="auto"/>
        </w:rPr>
        <w:t xml:space="preserve"> </w:t>
      </w:r>
      <w:r w:rsidR="00125760">
        <w:t>Some</w:t>
      </w:r>
      <w:r>
        <w:t xml:space="preserve"> of </w:t>
      </w:r>
      <w:r w:rsidR="00125760">
        <w:t xml:space="preserve">the </w:t>
      </w:r>
      <w:r>
        <w:t>topics covered are maximum weekly hours, annual leave, long service leave, public holidays</w:t>
      </w:r>
      <w:r w:rsidR="00125760">
        <w:t>, other types of leave (</w:t>
      </w:r>
      <w:r w:rsidR="00E90A26">
        <w:t>for example,</w:t>
      </w:r>
      <w:r w:rsidR="00125760">
        <w:t xml:space="preserve"> domestic violence), flexible working arrangements, and notice of termination and redundancy pay</w:t>
      </w:r>
      <w:r w:rsidR="008210EA">
        <w:t>.</w:t>
      </w:r>
      <w:r w:rsidR="00BF4453">
        <w:t xml:space="preserve"> </w:t>
      </w:r>
      <w:r w:rsidR="008210EA">
        <w:rPr>
          <w:color w:val="auto"/>
        </w:rPr>
        <w:t>S</w:t>
      </w:r>
      <w:r w:rsidR="00376D71">
        <w:rPr>
          <w:color w:val="auto"/>
        </w:rPr>
        <w:t>ee Part 2</w:t>
      </w:r>
      <w:r w:rsidR="00BF4453">
        <w:rPr>
          <w:color w:val="auto"/>
        </w:rPr>
        <w:t>.</w:t>
      </w:r>
      <w:r w:rsidR="00376D71">
        <w:rPr>
          <w:color w:val="auto"/>
        </w:rPr>
        <w:t>2 of</w:t>
      </w:r>
      <w:hyperlink r:id="rId22" w:anchor="_Toc533164836" w:tgtFrame="_blank" w:history="1">
        <w:r w:rsidR="00376D71" w:rsidRPr="00513F20">
          <w:rPr>
            <w:color w:val="auto"/>
          </w:rPr>
          <w:t xml:space="preserve"> the </w:t>
        </w:r>
        <w:r w:rsidR="00376D71" w:rsidRPr="000939B0">
          <w:rPr>
            <w:i/>
            <w:color w:val="auto"/>
          </w:rPr>
          <w:t>Fair Work Act 2009</w:t>
        </w:r>
      </w:hyperlink>
      <w:r w:rsidR="00376D71" w:rsidRPr="00E777B7">
        <w:t>.</w:t>
      </w:r>
    </w:p>
    <w:p w14:paraId="3AA92C69" w14:textId="5F40ADD5" w:rsidR="002D2793" w:rsidRDefault="002D2793" w:rsidP="002D2793">
      <w:pPr>
        <w:pStyle w:val="BodyText"/>
        <w:shd w:val="clear" w:color="auto" w:fill="EAF8F8" w:themeFill="accent4" w:themeFillTint="33"/>
      </w:pPr>
      <w:r>
        <w:rPr>
          <w:lang w:val="en"/>
        </w:rPr>
        <w:t>An award</w:t>
      </w:r>
      <w:r w:rsidR="000C572C">
        <w:rPr>
          <w:lang w:val="en"/>
        </w:rPr>
        <w:t xml:space="preserve">, </w:t>
      </w:r>
      <w:r>
        <w:rPr>
          <w:lang w:val="en"/>
        </w:rPr>
        <w:t xml:space="preserve">enterprise agreement or other </w:t>
      </w:r>
      <w:hyperlink r:id="rId23" w:history="1">
        <w:r w:rsidRPr="00125760">
          <w:rPr>
            <w:u w:val="single"/>
            <w:lang w:val="en"/>
          </w:rPr>
          <w:t>registered agreement</w:t>
        </w:r>
      </w:hyperlink>
      <w:r w:rsidRPr="00125760">
        <w:rPr>
          <w:lang w:val="en"/>
        </w:rPr>
        <w:t xml:space="preserve"> </w:t>
      </w:r>
      <w:r>
        <w:rPr>
          <w:lang w:val="en"/>
        </w:rPr>
        <w:t xml:space="preserve">cannot provide for conditions that are less than the national minimum wage or the </w:t>
      </w:r>
      <w:r w:rsidR="0025148B">
        <w:rPr>
          <w:lang w:val="en"/>
        </w:rPr>
        <w:t>National E</w:t>
      </w:r>
      <w:r w:rsidR="008210EA">
        <w:rPr>
          <w:lang w:val="en"/>
        </w:rPr>
        <w:t xml:space="preserve">mployment </w:t>
      </w:r>
      <w:r w:rsidR="0025148B">
        <w:rPr>
          <w:lang w:val="en"/>
        </w:rPr>
        <w:t>S</w:t>
      </w:r>
      <w:r w:rsidR="008210EA">
        <w:rPr>
          <w:lang w:val="en"/>
        </w:rPr>
        <w:t>tandards</w:t>
      </w:r>
      <w:r>
        <w:rPr>
          <w:lang w:val="en"/>
        </w:rPr>
        <w:t>.</w:t>
      </w:r>
    </w:p>
    <w:p w14:paraId="34A0A970" w14:textId="235893A5" w:rsidR="00356EB8" w:rsidRDefault="00356EB8" w:rsidP="00DB1721">
      <w:pPr>
        <w:pStyle w:val="Heading2"/>
      </w:pPr>
      <w:r>
        <w:t>Award</w:t>
      </w:r>
      <w:r w:rsidR="00C565AE">
        <w:t>s</w:t>
      </w:r>
    </w:p>
    <w:p w14:paraId="4FC90A45" w14:textId="7E5E3D20" w:rsidR="002F4E7D" w:rsidRDefault="002F4E7D" w:rsidP="00040D64">
      <w:pPr>
        <w:pStyle w:val="BodyText"/>
      </w:pPr>
      <w:r>
        <w:t xml:space="preserve">A modern award is a </w:t>
      </w:r>
      <w:r w:rsidR="004B0E42">
        <w:t xml:space="preserve">legal </w:t>
      </w:r>
      <w:r>
        <w:t xml:space="preserve">document which sets out the minimum terms and conditions of employment </w:t>
      </w:r>
      <w:r w:rsidRPr="00A662DA">
        <w:rPr>
          <w:b/>
        </w:rPr>
        <w:t>on top of</w:t>
      </w:r>
      <w:r w:rsidRPr="00A662DA">
        <w:t xml:space="preserve"> the </w:t>
      </w:r>
      <w:r w:rsidR="001A3059" w:rsidRPr="00A662DA">
        <w:t>national employment standards</w:t>
      </w:r>
      <w:r w:rsidRPr="00A662DA">
        <w:t>.</w:t>
      </w:r>
      <w:r>
        <w:t xml:space="preserve"> They include</w:t>
      </w:r>
      <w:r w:rsidR="000E7799">
        <w:t xml:space="preserve"> </w:t>
      </w:r>
      <w:r>
        <w:t>minimum wages</w:t>
      </w:r>
      <w:r w:rsidR="000E7799">
        <w:t xml:space="preserve">, </w:t>
      </w:r>
      <w:r>
        <w:t>hours of work</w:t>
      </w:r>
      <w:r w:rsidR="000E7799">
        <w:t xml:space="preserve">, </w:t>
      </w:r>
      <w:r>
        <w:t>overtime and penalty rates</w:t>
      </w:r>
      <w:r w:rsidR="000E7799">
        <w:t xml:space="preserve">, </w:t>
      </w:r>
      <w:r>
        <w:t>allowances</w:t>
      </w:r>
      <w:r w:rsidR="00040D64">
        <w:t xml:space="preserve">, </w:t>
      </w:r>
      <w:r>
        <w:t xml:space="preserve">rosters </w:t>
      </w:r>
      <w:r w:rsidR="00040D64">
        <w:t xml:space="preserve">and </w:t>
      </w:r>
      <w:r>
        <w:t>breaks.</w:t>
      </w:r>
    </w:p>
    <w:p w14:paraId="418AF01D" w14:textId="09D48638" w:rsidR="002F4E7D" w:rsidRPr="00EE0D7E" w:rsidRDefault="002F4E7D" w:rsidP="00EE0D7E">
      <w:pPr>
        <w:pStyle w:val="BodyText"/>
        <w:shd w:val="clear" w:color="auto" w:fill="EAF8F8" w:themeFill="accent4" w:themeFillTint="33"/>
        <w:rPr>
          <w:color w:val="auto"/>
          <w:u w:val="single"/>
          <w:lang w:eastAsia="en-AU"/>
        </w:rPr>
      </w:pPr>
      <w:r w:rsidRPr="001D7E04">
        <w:t xml:space="preserve">Many awards operate in Victoria. </w:t>
      </w:r>
      <w:r>
        <w:t xml:space="preserve">They are industry or occupation-based and apply to employers and employees who perform work covered by the award. </w:t>
      </w:r>
      <w:r w:rsidRPr="001D7E04">
        <w:t xml:space="preserve">Generally, </w:t>
      </w:r>
      <w:r>
        <w:t>employees of a committee of management</w:t>
      </w:r>
      <w:r w:rsidRPr="001D7E04">
        <w:t xml:space="preserve"> are employed in the personal and other services industry. </w:t>
      </w:r>
      <w:r w:rsidR="00986B0B">
        <w:t xml:space="preserve">For further information contact </w:t>
      </w:r>
      <w:r w:rsidR="00AE6390">
        <w:rPr>
          <w:lang w:eastAsia="en-AU"/>
        </w:rPr>
        <w:t xml:space="preserve">the </w:t>
      </w:r>
      <w:hyperlink r:id="rId24" w:history="1">
        <w:r w:rsidR="00AE6390" w:rsidRPr="001F54AB">
          <w:rPr>
            <w:rStyle w:val="Hyperlink"/>
            <w:lang w:eastAsia="en-AU"/>
          </w:rPr>
          <w:t>Fair Work Commissio</w:t>
        </w:r>
        <w:r w:rsidR="00EE0D7E">
          <w:rPr>
            <w:rStyle w:val="Hyperlink"/>
            <w:lang w:eastAsia="en-AU"/>
          </w:rPr>
          <w:t>n</w:t>
        </w:r>
      </w:hyperlink>
      <w:r w:rsidR="00CA2585">
        <w:t>. S</w:t>
      </w:r>
      <w:r w:rsidR="00986B0B">
        <w:t xml:space="preserve">ee </w:t>
      </w:r>
      <w:r w:rsidR="00484C77">
        <w:t xml:space="preserve">also </w:t>
      </w:r>
      <w:r w:rsidR="00986B0B">
        <w:t>below.</w:t>
      </w:r>
    </w:p>
    <w:p w14:paraId="6F98EC0E" w14:textId="3ED887F2" w:rsidR="00021BE2" w:rsidRDefault="00021BE2" w:rsidP="00021BE2">
      <w:pPr>
        <w:pStyle w:val="Heading2"/>
        <w:spacing w:before="260"/>
      </w:pPr>
      <w:bookmarkStart w:id="5" w:name="_Hlk24554664"/>
      <w:r>
        <w:t xml:space="preserve">Enterprise </w:t>
      </w:r>
      <w:r w:rsidR="00043389">
        <w:t>a</w:t>
      </w:r>
      <w:r>
        <w:t>greements</w:t>
      </w:r>
    </w:p>
    <w:p w14:paraId="58A4C062" w14:textId="209DE301" w:rsidR="00021BE2" w:rsidRDefault="00021BE2" w:rsidP="00FD5DDD">
      <w:pPr>
        <w:pStyle w:val="BodyText"/>
        <w:shd w:val="clear" w:color="auto" w:fill="EAF8F8" w:themeFill="accent4" w:themeFillTint="33"/>
        <w:rPr>
          <w:lang w:eastAsia="en-AU"/>
        </w:rPr>
      </w:pPr>
      <w:r>
        <w:rPr>
          <w:lang w:eastAsia="en-AU"/>
        </w:rPr>
        <w:t xml:space="preserve">If your committee has a number of employees, it may be appropriate to negotiate an enterprise agreement. However, this is unlikely to be a suitable option for all but </w:t>
      </w:r>
      <w:r w:rsidR="00483A5B">
        <w:rPr>
          <w:lang w:eastAsia="en-AU"/>
        </w:rPr>
        <w:t xml:space="preserve">a </w:t>
      </w:r>
      <w:r>
        <w:rPr>
          <w:lang w:eastAsia="en-AU"/>
        </w:rPr>
        <w:t xml:space="preserve">few </w:t>
      </w:r>
      <w:r w:rsidR="00A00C6A">
        <w:rPr>
          <w:lang w:eastAsia="en-AU"/>
        </w:rPr>
        <w:t xml:space="preserve">major </w:t>
      </w:r>
      <w:r>
        <w:rPr>
          <w:lang w:eastAsia="en-AU"/>
        </w:rPr>
        <w:t>committees.</w:t>
      </w:r>
      <w:r w:rsidR="0092246F">
        <w:rPr>
          <w:lang w:eastAsia="en-AU"/>
        </w:rPr>
        <w:t xml:space="preserve"> </w:t>
      </w:r>
      <w:r w:rsidR="00856CF7">
        <w:rPr>
          <w:lang w:eastAsia="en-AU"/>
        </w:rPr>
        <w:t xml:space="preserve">Your committee can </w:t>
      </w:r>
      <w:r w:rsidR="00D17A23">
        <w:rPr>
          <w:lang w:eastAsia="en-AU"/>
        </w:rPr>
        <w:t xml:space="preserve">contact Industrial Relations Victoria </w:t>
      </w:r>
      <w:r w:rsidR="00DF1E03">
        <w:rPr>
          <w:lang w:eastAsia="en-AU"/>
        </w:rPr>
        <w:t>about</w:t>
      </w:r>
      <w:r w:rsidR="00AC156E">
        <w:rPr>
          <w:lang w:eastAsia="en-AU"/>
        </w:rPr>
        <w:t xml:space="preserve"> </w:t>
      </w:r>
      <w:r w:rsidR="009F3AA8">
        <w:rPr>
          <w:lang w:eastAsia="en-AU"/>
        </w:rPr>
        <w:t>whether</w:t>
      </w:r>
      <w:r w:rsidR="00AC156E">
        <w:rPr>
          <w:lang w:eastAsia="en-AU"/>
        </w:rPr>
        <w:t xml:space="preserve"> an agreement may be </w:t>
      </w:r>
      <w:r w:rsidR="00DF1E03">
        <w:rPr>
          <w:lang w:eastAsia="en-AU"/>
        </w:rPr>
        <w:t>appropriate</w:t>
      </w:r>
      <w:r w:rsidR="00D17A23">
        <w:rPr>
          <w:lang w:eastAsia="en-AU"/>
        </w:rPr>
        <w:t xml:space="preserve"> </w:t>
      </w:r>
      <w:r w:rsidR="00DF1E03">
        <w:rPr>
          <w:lang w:eastAsia="en-AU"/>
        </w:rPr>
        <w:t>(</w:t>
      </w:r>
      <w:hyperlink r:id="rId25" w:history="1">
        <w:r w:rsidR="00DF1E03" w:rsidRPr="00720BAD">
          <w:rPr>
            <w:rStyle w:val="Hyperlink"/>
            <w:lang w:eastAsia="en-AU"/>
          </w:rPr>
          <w:t>irv.info@dpc.vic.gov.au</w:t>
        </w:r>
      </w:hyperlink>
      <w:r w:rsidR="00DF1E03">
        <w:rPr>
          <w:lang w:eastAsia="en-AU"/>
        </w:rPr>
        <w:t>)</w:t>
      </w:r>
      <w:r w:rsidR="001007D3">
        <w:rPr>
          <w:lang w:eastAsia="en-AU"/>
        </w:rPr>
        <w:t>.</w:t>
      </w:r>
      <w:r w:rsidR="00856CF7">
        <w:rPr>
          <w:lang w:eastAsia="en-AU"/>
        </w:rPr>
        <w:t xml:space="preserve"> </w:t>
      </w:r>
    </w:p>
    <w:p w14:paraId="43754DA3" w14:textId="0F477899" w:rsidR="00021BE2" w:rsidRDefault="00021BE2" w:rsidP="00021BE2">
      <w:pPr>
        <w:pStyle w:val="BodyText"/>
      </w:pPr>
      <w:r>
        <w:t>An e</w:t>
      </w:r>
      <w:r w:rsidRPr="00BA7552">
        <w:t>nterprise agreement</w:t>
      </w:r>
      <w:r>
        <w:t xml:space="preserve"> made between </w:t>
      </w:r>
      <w:r w:rsidR="00CA2585">
        <w:t xml:space="preserve">a committee </w:t>
      </w:r>
      <w:r>
        <w:t>a</w:t>
      </w:r>
      <w:r w:rsidR="00CA2585">
        <w:t>s</w:t>
      </w:r>
      <w:r>
        <w:t xml:space="preserve"> employe</w:t>
      </w:r>
      <w:r w:rsidR="00CA2585">
        <w:t>r</w:t>
      </w:r>
      <w:r>
        <w:t xml:space="preserve"> and its employees:</w:t>
      </w:r>
      <w:r w:rsidRPr="00BA7552">
        <w:t xml:space="preserve"> </w:t>
      </w:r>
    </w:p>
    <w:p w14:paraId="06303E7C" w14:textId="3F35E622" w:rsidR="00021BE2" w:rsidRDefault="00CA2585" w:rsidP="0068606E">
      <w:pPr>
        <w:pStyle w:val="BodyText"/>
        <w:numPr>
          <w:ilvl w:val="0"/>
          <w:numId w:val="28"/>
        </w:numPr>
      </w:pPr>
      <w:r>
        <w:rPr>
          <w:b/>
        </w:rPr>
        <w:t>c</w:t>
      </w:r>
      <w:r w:rsidR="00021BE2" w:rsidRPr="005A2DF6">
        <w:rPr>
          <w:b/>
        </w:rPr>
        <w:t xml:space="preserve">annot reduce terms and conditions included in the </w:t>
      </w:r>
      <w:r>
        <w:rPr>
          <w:b/>
        </w:rPr>
        <w:t>national employment standards</w:t>
      </w:r>
    </w:p>
    <w:p w14:paraId="03D9CD7A" w14:textId="21DDFB61" w:rsidR="00021BE2" w:rsidRPr="00BA7552" w:rsidRDefault="00CA2585" w:rsidP="0068606E">
      <w:pPr>
        <w:pStyle w:val="BodyText"/>
        <w:numPr>
          <w:ilvl w:val="0"/>
          <w:numId w:val="28"/>
        </w:numPr>
      </w:pPr>
      <w:r>
        <w:t>o</w:t>
      </w:r>
      <w:r w:rsidR="00021BE2" w:rsidRPr="00BA7552">
        <w:t>perate</w:t>
      </w:r>
      <w:r w:rsidR="00021BE2">
        <w:t>s</w:t>
      </w:r>
      <w:r w:rsidR="00021BE2" w:rsidRPr="00BA7552">
        <w:t xml:space="preserve"> to the exclusion of the relevant modern award(s). However, each employee </w:t>
      </w:r>
      <w:r w:rsidR="00021BE2" w:rsidRPr="00BA7552">
        <w:rPr>
          <w:b/>
        </w:rPr>
        <w:t>must be better off overall</w:t>
      </w:r>
      <w:r w:rsidR="00021BE2" w:rsidRPr="00BA7552">
        <w:t xml:space="preserve"> th</w:t>
      </w:r>
      <w:r w:rsidR="00021BE2">
        <w:t>a</w:t>
      </w:r>
      <w:r w:rsidR="00021BE2" w:rsidRPr="00BA7552">
        <w:t xml:space="preserve">n under the award </w:t>
      </w:r>
    </w:p>
    <w:p w14:paraId="55AC7E29" w14:textId="79294A6E" w:rsidR="00021BE2" w:rsidRPr="00497AFC" w:rsidRDefault="00CA2585" w:rsidP="0068606E">
      <w:pPr>
        <w:pStyle w:val="BodyText"/>
        <w:numPr>
          <w:ilvl w:val="0"/>
          <w:numId w:val="28"/>
        </w:numPr>
      </w:pPr>
      <w:r>
        <w:t>m</w:t>
      </w:r>
      <w:r w:rsidR="00021BE2" w:rsidRPr="00497AFC">
        <w:t xml:space="preserve">ust </w:t>
      </w:r>
      <w:r w:rsidR="00021BE2">
        <w:t>have</w:t>
      </w:r>
      <w:r w:rsidR="00021BE2" w:rsidRPr="00497AFC">
        <w:t xml:space="preserve"> </w:t>
      </w:r>
      <w:r w:rsidR="00021BE2">
        <w:t xml:space="preserve">annual wage increases that comply with the Government’s Wages Policy for the public sector (see </w:t>
      </w:r>
      <w:r w:rsidR="003D5373" w:rsidRPr="00B32130">
        <w:t xml:space="preserve">13.10 </w:t>
      </w:r>
      <w:r w:rsidR="00E90A26">
        <w:t>‘</w:t>
      </w:r>
      <w:r w:rsidR="00021BE2">
        <w:t>Public sector industrial relations policies</w:t>
      </w:r>
      <w:r w:rsidR="00E90A26">
        <w:t>’</w:t>
      </w:r>
      <w:r w:rsidR="00021BE2">
        <w:t>).</w:t>
      </w:r>
    </w:p>
    <w:p w14:paraId="5570D79D" w14:textId="6EE997A2" w:rsidR="00021BE2" w:rsidRDefault="00021BE2" w:rsidP="00021BE2">
      <w:pPr>
        <w:pStyle w:val="BodyText"/>
      </w:pPr>
      <w:r w:rsidRPr="00BA7552">
        <w:t xml:space="preserve">An advantage of having an enterprise agreement is that it allows tailoring terms and conditions that are specific for a particular employer, compared to an award that covers the whole industry or occupation. </w:t>
      </w:r>
    </w:p>
    <w:p w14:paraId="0272CFE6" w14:textId="004901B9" w:rsidR="003E41C4" w:rsidRPr="00484C77" w:rsidRDefault="00EE0D7E" w:rsidP="00A662DA">
      <w:pPr>
        <w:pStyle w:val="Heading3"/>
        <w:spacing w:after="200"/>
        <w:rPr>
          <w:b w:val="0"/>
        </w:rPr>
      </w:pPr>
      <w:r w:rsidRPr="00EE0D7E">
        <w:rPr>
          <w:b w:val="0"/>
        </w:rPr>
        <w:t xml:space="preserve">For further information contact the </w:t>
      </w:r>
      <w:hyperlink r:id="rId26" w:history="1">
        <w:r w:rsidRPr="00EE0D7E">
          <w:rPr>
            <w:rStyle w:val="Hyperlink"/>
            <w:b w:val="0"/>
          </w:rPr>
          <w:t>Fair Work Commission</w:t>
        </w:r>
      </w:hyperlink>
      <w:r w:rsidRPr="00EE0D7E">
        <w:rPr>
          <w:rStyle w:val="Hyperlink"/>
          <w:b w:val="0"/>
        </w:rPr>
        <w:t xml:space="preserve"> </w:t>
      </w:r>
      <w:r w:rsidRPr="00484C77">
        <w:rPr>
          <w:b w:val="0"/>
        </w:rPr>
        <w:t>(</w:t>
      </w:r>
      <w:r w:rsidRPr="00B32130">
        <w:rPr>
          <w:b w:val="0"/>
        </w:rPr>
        <w:t xml:space="preserve">see </w:t>
      </w:r>
      <w:r w:rsidR="00484C77">
        <w:rPr>
          <w:b w:val="0"/>
        </w:rPr>
        <w:t xml:space="preserve">also </w:t>
      </w:r>
      <w:r w:rsidR="00484C77" w:rsidRPr="00B32130">
        <w:rPr>
          <w:b w:val="0"/>
        </w:rPr>
        <w:t>below</w:t>
      </w:r>
      <w:r w:rsidRPr="00B32130">
        <w:rPr>
          <w:b w:val="0"/>
        </w:rPr>
        <w:t>).</w:t>
      </w:r>
    </w:p>
    <w:p w14:paraId="46F8C543" w14:textId="5D29EC3D" w:rsidR="003D5373" w:rsidRDefault="003D5373" w:rsidP="003D5373">
      <w:pPr>
        <w:pStyle w:val="BodyText"/>
        <w:rPr>
          <w:lang w:eastAsia="en-AU"/>
        </w:rPr>
      </w:pPr>
    </w:p>
    <w:p w14:paraId="2C58B701" w14:textId="36B0431A" w:rsidR="003D5373" w:rsidRDefault="003D5373">
      <w:pPr>
        <w:rPr>
          <w:rFonts w:cs="Times New Roman"/>
        </w:rPr>
      </w:pPr>
      <w:r>
        <w:br w:type="page"/>
      </w:r>
    </w:p>
    <w:p w14:paraId="230B0CC5" w14:textId="77777777" w:rsidR="003D5373" w:rsidRPr="003D5373" w:rsidRDefault="003D5373" w:rsidP="003D5373">
      <w:pPr>
        <w:pStyle w:val="BodyText"/>
        <w:rPr>
          <w:lang w:eastAsia="en-AU"/>
        </w:rPr>
      </w:pPr>
    </w:p>
    <w:p w14:paraId="581E04B5" w14:textId="62E68DAA" w:rsidR="00986B0B" w:rsidRDefault="00986B0B" w:rsidP="00A662DA">
      <w:pPr>
        <w:pStyle w:val="Heading3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spacing w:after="160"/>
      </w:pPr>
      <w:r w:rsidRPr="00957F25">
        <w:t xml:space="preserve">Fair Work </w:t>
      </w:r>
      <w:r>
        <w:t>Commission</w:t>
      </w:r>
    </w:p>
    <w:p w14:paraId="12A78918" w14:textId="77777777" w:rsidR="00986B0B" w:rsidRPr="001F54AB" w:rsidRDefault="00986B0B" w:rsidP="00A662DA">
      <w:pPr>
        <w:pStyle w:val="BodyText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rPr>
          <w:lang w:eastAsia="en-AU"/>
        </w:rPr>
      </w:pPr>
      <w:r>
        <w:rPr>
          <w:lang w:eastAsia="en-AU"/>
        </w:rPr>
        <w:t xml:space="preserve">The </w:t>
      </w:r>
      <w:hyperlink r:id="rId27" w:history="1">
        <w:r w:rsidRPr="001F54AB">
          <w:rPr>
            <w:rStyle w:val="Hyperlink"/>
            <w:lang w:eastAsia="en-AU"/>
          </w:rPr>
          <w:t>Fair Work Commission:</w:t>
        </w:r>
      </w:hyperlink>
    </w:p>
    <w:p w14:paraId="4043226E" w14:textId="4C65320D" w:rsidR="00986B0B" w:rsidRPr="008233A4" w:rsidRDefault="00986B0B" w:rsidP="00A662DA">
      <w:pPr>
        <w:pStyle w:val="BodyText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ind w:left="284" w:hanging="284"/>
        <w:rPr>
          <w:lang w:val="en"/>
        </w:rPr>
      </w:pPr>
      <w:r>
        <w:rPr>
          <w:lang w:val="en"/>
        </w:rPr>
        <w:t>-</w:t>
      </w:r>
      <w:r>
        <w:rPr>
          <w:lang w:val="en"/>
        </w:rPr>
        <w:tab/>
      </w:r>
      <w:r w:rsidR="00CA2585">
        <w:rPr>
          <w:lang w:val="en"/>
        </w:rPr>
        <w:t>p</w:t>
      </w:r>
      <w:r w:rsidRPr="008233A4">
        <w:rPr>
          <w:lang w:val="en"/>
        </w:rPr>
        <w:t>rovide</w:t>
      </w:r>
      <w:r>
        <w:rPr>
          <w:lang w:val="en"/>
        </w:rPr>
        <w:t>s</w:t>
      </w:r>
      <w:r w:rsidRPr="008233A4">
        <w:rPr>
          <w:lang w:val="en"/>
        </w:rPr>
        <w:t xml:space="preserve"> education, assistance, advice and guidance</w:t>
      </w:r>
      <w:r>
        <w:rPr>
          <w:lang w:val="en"/>
        </w:rPr>
        <w:t xml:space="preserve"> on workplace matters such as pay rates, leave, employee entitlements, awards and agreements, resolving workplace issues, and ending employment</w:t>
      </w:r>
      <w:r w:rsidRPr="008233A4">
        <w:rPr>
          <w:lang w:val="en"/>
        </w:rPr>
        <w:t xml:space="preserve"> </w:t>
      </w:r>
    </w:p>
    <w:p w14:paraId="6A8C9F17" w14:textId="21E67B73" w:rsidR="00986B0B" w:rsidRPr="00FF4307" w:rsidRDefault="00986B0B" w:rsidP="00A662DA">
      <w:pPr>
        <w:pStyle w:val="BodyText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tabs>
          <w:tab w:val="left" w:pos="284"/>
        </w:tabs>
        <w:rPr>
          <w:lang w:val="en"/>
        </w:rPr>
      </w:pPr>
      <w:r>
        <w:rPr>
          <w:lang w:val="en"/>
        </w:rPr>
        <w:t>-</w:t>
      </w:r>
      <w:r>
        <w:rPr>
          <w:lang w:val="en"/>
        </w:rPr>
        <w:tab/>
      </w:r>
      <w:r w:rsidR="00CA2585">
        <w:rPr>
          <w:lang w:val="en"/>
        </w:rPr>
        <w:t>p</w:t>
      </w:r>
      <w:r w:rsidRPr="008233A4">
        <w:rPr>
          <w:lang w:val="en"/>
        </w:rPr>
        <w:t>romote</w:t>
      </w:r>
      <w:r>
        <w:rPr>
          <w:lang w:val="en"/>
        </w:rPr>
        <w:t xml:space="preserve">s and </w:t>
      </w:r>
      <w:r w:rsidRPr="008233A4">
        <w:rPr>
          <w:lang w:val="en"/>
        </w:rPr>
        <w:t>monitor</w:t>
      </w:r>
      <w:r>
        <w:rPr>
          <w:lang w:val="en"/>
        </w:rPr>
        <w:t>s</w:t>
      </w:r>
      <w:r w:rsidRPr="008233A4">
        <w:rPr>
          <w:lang w:val="en"/>
        </w:rPr>
        <w:t xml:space="preserve"> compliance with workplace law</w:t>
      </w:r>
      <w:r>
        <w:rPr>
          <w:lang w:val="en"/>
        </w:rPr>
        <w:t xml:space="preserve"> </w:t>
      </w:r>
    </w:p>
    <w:p w14:paraId="2FC019FC" w14:textId="35083838" w:rsidR="00986B0B" w:rsidRDefault="00986B0B" w:rsidP="00A662DA">
      <w:pPr>
        <w:pStyle w:val="BodyText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tabs>
          <w:tab w:val="left" w:pos="284"/>
        </w:tabs>
        <w:rPr>
          <w:lang w:val="en"/>
        </w:rPr>
      </w:pPr>
      <w:r>
        <w:rPr>
          <w:lang w:val="en"/>
        </w:rPr>
        <w:t>-</w:t>
      </w:r>
      <w:r>
        <w:rPr>
          <w:lang w:val="en"/>
        </w:rPr>
        <w:tab/>
      </w:r>
      <w:r w:rsidR="00CA2585">
        <w:rPr>
          <w:lang w:val="en"/>
        </w:rPr>
        <w:t>i</w:t>
      </w:r>
      <w:r w:rsidRPr="00FF4307">
        <w:rPr>
          <w:lang w:val="en"/>
        </w:rPr>
        <w:t xml:space="preserve">nvestigates breaches of the </w:t>
      </w:r>
      <w:r w:rsidRPr="00FD2782">
        <w:rPr>
          <w:iCs/>
          <w:lang w:val="en"/>
        </w:rPr>
        <w:t>Fair Work Act</w:t>
      </w:r>
      <w:r w:rsidRPr="000E4158">
        <w:rPr>
          <w:i/>
          <w:lang w:val="en"/>
        </w:rPr>
        <w:t xml:space="preserve"> </w:t>
      </w:r>
      <w:r>
        <w:rPr>
          <w:lang w:val="en"/>
        </w:rPr>
        <w:t>and related employment laws a</w:t>
      </w:r>
      <w:r w:rsidR="00CA2585">
        <w:rPr>
          <w:lang w:val="en"/>
        </w:rPr>
        <w:t>n</w:t>
      </w:r>
      <w:r>
        <w:rPr>
          <w:lang w:val="en"/>
        </w:rPr>
        <w:t>d obligations</w:t>
      </w:r>
    </w:p>
    <w:p w14:paraId="77B1B036" w14:textId="17618660" w:rsidR="00986B0B" w:rsidRDefault="00986B0B" w:rsidP="00A662DA">
      <w:pPr>
        <w:pStyle w:val="BodyText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tabs>
          <w:tab w:val="left" w:pos="284"/>
        </w:tabs>
        <w:spacing w:after="200"/>
        <w:rPr>
          <w:lang w:val="en"/>
        </w:rPr>
      </w:pPr>
      <w:r>
        <w:rPr>
          <w:lang w:val="en"/>
        </w:rPr>
        <w:t>-</w:t>
      </w:r>
      <w:r>
        <w:rPr>
          <w:lang w:val="en"/>
        </w:rPr>
        <w:tab/>
      </w:r>
      <w:r w:rsidR="00CA2585">
        <w:rPr>
          <w:lang w:val="en"/>
        </w:rPr>
        <w:t>w</w:t>
      </w:r>
      <w:r>
        <w:rPr>
          <w:lang w:val="en"/>
        </w:rPr>
        <w:t xml:space="preserve">here appropriate, takes </w:t>
      </w:r>
      <w:r w:rsidRPr="008233A4">
        <w:rPr>
          <w:lang w:val="en"/>
        </w:rPr>
        <w:t>enforcement action</w:t>
      </w:r>
      <w:r>
        <w:rPr>
          <w:lang w:val="en"/>
        </w:rPr>
        <w:t>.</w:t>
      </w:r>
    </w:p>
    <w:p w14:paraId="7F5D2494" w14:textId="77777777" w:rsidR="00BB0462" w:rsidRDefault="00BB0462" w:rsidP="00A662DA">
      <w:pPr>
        <w:pStyle w:val="Heading3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spacing w:after="160"/>
      </w:pPr>
      <w:r>
        <w:t>Victorian Fair Work Ombudsman</w:t>
      </w:r>
    </w:p>
    <w:p w14:paraId="0F329ED0" w14:textId="625C1FBB" w:rsidR="00BB0462" w:rsidRDefault="00986B0B" w:rsidP="00A662DA">
      <w:pPr>
        <w:pStyle w:val="BodyText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spacing w:before="120" w:after="200"/>
      </w:pPr>
      <w:r w:rsidRPr="001D7E04">
        <w:t xml:space="preserve">For further information </w:t>
      </w:r>
      <w:r>
        <w:t>about</w:t>
      </w:r>
      <w:r w:rsidRPr="001D7E04">
        <w:t xml:space="preserve"> award rates and conditions, </w:t>
      </w:r>
      <w:r>
        <w:t xml:space="preserve">or about </w:t>
      </w:r>
      <w:r w:rsidR="00BB0462">
        <w:t xml:space="preserve">enterprise </w:t>
      </w:r>
      <w:r>
        <w:t xml:space="preserve">agreements, </w:t>
      </w:r>
      <w:r w:rsidRPr="001D7E04">
        <w:t xml:space="preserve">contact </w:t>
      </w:r>
      <w:r>
        <w:t>Victoria’s</w:t>
      </w:r>
      <w:r w:rsidRPr="001D7E04">
        <w:t xml:space="preserve"> </w:t>
      </w:r>
      <w:hyperlink r:id="rId28" w:history="1">
        <w:r w:rsidRPr="001D7E04">
          <w:rPr>
            <w:rStyle w:val="Hyperlink"/>
          </w:rPr>
          <w:t>Fair Work Ombudsman</w:t>
        </w:r>
      </w:hyperlink>
      <w:r>
        <w:t xml:space="preserve"> (phone 131 394 from 8 am to 5.30 pm Monday to Friday).</w:t>
      </w:r>
      <w:r w:rsidR="00BB0462">
        <w:t xml:space="preserve"> </w:t>
      </w:r>
    </w:p>
    <w:p w14:paraId="758F9C68" w14:textId="63BAC55E" w:rsidR="00BB0462" w:rsidRPr="00ED1FDE" w:rsidRDefault="00BB0462" w:rsidP="00A662DA">
      <w:pPr>
        <w:pStyle w:val="BodyText"/>
        <w:pBdr>
          <w:top w:val="single" w:sz="2" w:space="5" w:color="EA7200" w:themeColor="text2"/>
          <w:left w:val="single" w:sz="2" w:space="4" w:color="EA7200" w:themeColor="text2"/>
          <w:bottom w:val="single" w:sz="2" w:space="5" w:color="EA7200" w:themeColor="text2"/>
          <w:right w:val="single" w:sz="2" w:space="4" w:color="EA7200" w:themeColor="text2"/>
        </w:pBdr>
        <w:shd w:val="clear" w:color="auto" w:fill="EAF8F8" w:themeFill="accent4" w:themeFillTint="33"/>
        <w:spacing w:after="200"/>
      </w:pPr>
      <w:r>
        <w:t xml:space="preserve">The Fair Work Ombudsman’s </w:t>
      </w:r>
      <w:hyperlink r:id="rId29" w:history="1">
        <w:r w:rsidRPr="00BB0462">
          <w:rPr>
            <w:rStyle w:val="Hyperlink"/>
          </w:rPr>
          <w:t>website</w:t>
        </w:r>
      </w:hyperlink>
      <w:r>
        <w:t xml:space="preserve"> has useful information on topics such as </w:t>
      </w:r>
      <w:hyperlink r:id="rId30" w:history="1">
        <w:r w:rsidRPr="00BB0462">
          <w:rPr>
            <w:rStyle w:val="Hyperlink"/>
          </w:rPr>
          <w:t>hiring employees</w:t>
        </w:r>
      </w:hyperlink>
      <w:r>
        <w:t xml:space="preserve">, including the </w:t>
      </w:r>
      <w:r w:rsidRPr="00A662DA">
        <w:rPr>
          <w:i/>
        </w:rPr>
        <w:t>Guide to hiring new employees</w:t>
      </w:r>
      <w:r>
        <w:t xml:space="preserve"> and the </w:t>
      </w:r>
      <w:hyperlink r:id="rId31" w:history="1">
        <w:r w:rsidRPr="00BB0462">
          <w:rPr>
            <w:rStyle w:val="Hyperlink"/>
          </w:rPr>
          <w:t>Fair Work Information Statement</w:t>
        </w:r>
      </w:hyperlink>
      <w:r>
        <w:t xml:space="preserve"> that must be provided to all new employees. There is also a </w:t>
      </w:r>
      <w:r w:rsidRPr="00A662DA">
        <w:rPr>
          <w:i/>
        </w:rPr>
        <w:t>Guide to starting a new job</w:t>
      </w:r>
      <w:r>
        <w:t>, which can be provided to new employees.</w:t>
      </w:r>
    </w:p>
    <w:p w14:paraId="5EDE4628" w14:textId="033A2999" w:rsidR="0093755F" w:rsidRDefault="009B12ED" w:rsidP="00A662DA">
      <w:pPr>
        <w:pStyle w:val="Heading1"/>
        <w:tabs>
          <w:tab w:val="left" w:pos="993"/>
        </w:tabs>
      </w:pPr>
      <w:r>
        <w:t>13.9</w:t>
      </w:r>
      <w:r>
        <w:tab/>
      </w:r>
      <w:r w:rsidR="0093755F">
        <w:t>Employment contracts</w:t>
      </w:r>
    </w:p>
    <w:p w14:paraId="49E6199C" w14:textId="59BE8039" w:rsidR="0093755F" w:rsidRPr="00A662DA" w:rsidRDefault="00D37BA6" w:rsidP="0093755F">
      <w:pPr>
        <w:pStyle w:val="BodyText"/>
        <w:rPr>
          <w:b/>
        </w:rPr>
      </w:pPr>
      <w:r w:rsidRPr="00EB1720">
        <w:t xml:space="preserve">Once </w:t>
      </w:r>
      <w:r w:rsidR="00DC47D0" w:rsidRPr="00EB1720">
        <w:t xml:space="preserve">your committee </w:t>
      </w:r>
      <w:r w:rsidRPr="00EB1720">
        <w:t>decides to</w:t>
      </w:r>
      <w:r w:rsidRPr="00A662DA">
        <w:rPr>
          <w:b/>
        </w:rPr>
        <w:t xml:space="preserve"> </w:t>
      </w:r>
      <w:r w:rsidR="00DC47D0" w:rsidRPr="00EB1720">
        <w:t>engage a person as</w:t>
      </w:r>
      <w:r w:rsidR="00DC47D0" w:rsidRPr="00A662DA">
        <w:rPr>
          <w:b/>
        </w:rPr>
        <w:t xml:space="preserve"> an employee under an award or enterprise agreement</w:t>
      </w:r>
      <w:r w:rsidR="00DC47D0" w:rsidRPr="00EB1720">
        <w:t xml:space="preserve">, </w:t>
      </w:r>
      <w:r w:rsidR="00A840D7" w:rsidRPr="00EB1720">
        <w:t>it draw</w:t>
      </w:r>
      <w:r w:rsidR="0047027F" w:rsidRPr="00EB1720">
        <w:t>s</w:t>
      </w:r>
      <w:r w:rsidR="00A840D7" w:rsidRPr="00EB1720">
        <w:t xml:space="preserve"> up </w:t>
      </w:r>
      <w:r w:rsidR="00A840D7" w:rsidRPr="00A662DA">
        <w:rPr>
          <w:b/>
        </w:rPr>
        <w:t>a contract of employment</w:t>
      </w:r>
      <w:r w:rsidR="0093755F" w:rsidRPr="00A662DA">
        <w:rPr>
          <w:b/>
        </w:rPr>
        <w:t xml:space="preserve">. </w:t>
      </w:r>
    </w:p>
    <w:p w14:paraId="1B714FBD" w14:textId="695A7A38" w:rsidR="0093755F" w:rsidRDefault="0093755F" w:rsidP="0093755F">
      <w:pPr>
        <w:pStyle w:val="BodyText"/>
        <w:numPr>
          <w:ilvl w:val="0"/>
          <w:numId w:val="29"/>
        </w:numPr>
      </w:pPr>
      <w:r w:rsidRPr="0063642F">
        <w:t>Open-ended contracts are applicable for employment of ongoing full-time and part-time employees where there is no</w:t>
      </w:r>
      <w:r w:rsidR="003E3236">
        <w:t>t</w:t>
      </w:r>
      <w:r w:rsidRPr="0063642F">
        <w:t xml:space="preserve"> a definite end </w:t>
      </w:r>
      <w:r w:rsidR="003E3236">
        <w:t>date for the</w:t>
      </w:r>
      <w:r w:rsidR="003E3236" w:rsidRPr="0063642F">
        <w:t xml:space="preserve"> </w:t>
      </w:r>
      <w:r w:rsidRPr="0063642F">
        <w:t xml:space="preserve">employment. </w:t>
      </w:r>
    </w:p>
    <w:p w14:paraId="650CC5DF" w14:textId="5DCC77E5" w:rsidR="0093755F" w:rsidRDefault="0093755F" w:rsidP="0093755F">
      <w:pPr>
        <w:pStyle w:val="BodyText"/>
        <w:numPr>
          <w:ilvl w:val="0"/>
          <w:numId w:val="29"/>
        </w:numPr>
      </w:pPr>
      <w:r w:rsidRPr="0063642F">
        <w:t>The second type, fixed</w:t>
      </w:r>
      <w:r w:rsidR="00484C77">
        <w:t>-</w:t>
      </w:r>
      <w:r w:rsidRPr="0063642F">
        <w:t>term contracts, are used when a committee wishes to engage an employee for a specific period of time or task</w:t>
      </w:r>
      <w:r w:rsidR="00CA2585">
        <w:t>. These contracts</w:t>
      </w:r>
      <w:r w:rsidRPr="0063642F">
        <w:t xml:space="preserve"> include </w:t>
      </w:r>
      <w:r w:rsidR="00CA2585">
        <w:t>start</w:t>
      </w:r>
      <w:r w:rsidR="00CA2585" w:rsidRPr="0063642F">
        <w:t xml:space="preserve"> </w:t>
      </w:r>
      <w:r w:rsidRPr="0063642F">
        <w:t>and end date</w:t>
      </w:r>
      <w:r w:rsidR="00CA2585">
        <w:t>s</w:t>
      </w:r>
      <w:r w:rsidRPr="0063642F">
        <w:t xml:space="preserve"> of employment</w:t>
      </w:r>
      <w:r w:rsidR="00CA2585">
        <w:t xml:space="preserve">, for example, </w:t>
      </w:r>
      <w:r w:rsidRPr="0063642F">
        <w:t>a six</w:t>
      </w:r>
      <w:r w:rsidR="00CA2585">
        <w:t>-</w:t>
      </w:r>
      <w:r w:rsidRPr="0063642F">
        <w:t xml:space="preserve">month contract. </w:t>
      </w:r>
      <w:r w:rsidR="00F30CFD">
        <w:t>R</w:t>
      </w:r>
      <w:r w:rsidRPr="0063642F">
        <w:t xml:space="preserve">easons for </w:t>
      </w:r>
      <w:r w:rsidR="00F30CFD">
        <w:t>using</w:t>
      </w:r>
      <w:r w:rsidRPr="0063642F">
        <w:t xml:space="preserve"> fixed</w:t>
      </w:r>
      <w:r w:rsidR="00F30CFD">
        <w:t>-</w:t>
      </w:r>
      <w:r w:rsidRPr="0063642F">
        <w:t>term contracts may include</w:t>
      </w:r>
      <w:r>
        <w:t>, for example:</w:t>
      </w:r>
    </w:p>
    <w:p w14:paraId="360FEF67" w14:textId="77777777" w:rsidR="0093755F" w:rsidRDefault="0093755F" w:rsidP="0093755F">
      <w:pPr>
        <w:pStyle w:val="BodyText"/>
        <w:numPr>
          <w:ilvl w:val="0"/>
          <w:numId w:val="34"/>
        </w:numPr>
      </w:pPr>
      <w:r>
        <w:t xml:space="preserve">the </w:t>
      </w:r>
      <w:r w:rsidRPr="0063642F">
        <w:t xml:space="preserve">replacement of </w:t>
      </w:r>
      <w:r>
        <w:t xml:space="preserve">an </w:t>
      </w:r>
      <w:r w:rsidRPr="0063642F">
        <w:t>employee on approved leave</w:t>
      </w:r>
    </w:p>
    <w:p w14:paraId="1C6011C5" w14:textId="77777777" w:rsidR="0093755F" w:rsidRDefault="0093755F" w:rsidP="0093755F">
      <w:pPr>
        <w:pStyle w:val="BodyText"/>
        <w:numPr>
          <w:ilvl w:val="0"/>
          <w:numId w:val="34"/>
        </w:numPr>
      </w:pPr>
      <w:r>
        <w:t xml:space="preserve">an </w:t>
      </w:r>
      <w:r w:rsidRPr="0063642F">
        <w:t>unexpected increase in workloads</w:t>
      </w:r>
    </w:p>
    <w:p w14:paraId="2C9673C1" w14:textId="4FB306F0" w:rsidR="0093755F" w:rsidRPr="0063642F" w:rsidRDefault="0093755F" w:rsidP="0093755F">
      <w:pPr>
        <w:pStyle w:val="BodyText"/>
        <w:numPr>
          <w:ilvl w:val="0"/>
          <w:numId w:val="34"/>
        </w:numPr>
      </w:pPr>
      <w:r w:rsidRPr="0063642F">
        <w:t xml:space="preserve">undertaking a specified task funded for a specified period. </w:t>
      </w:r>
    </w:p>
    <w:p w14:paraId="22E38E01" w14:textId="543A5466" w:rsidR="0093755F" w:rsidRPr="0063642F" w:rsidRDefault="0093755F" w:rsidP="0093755F">
      <w:pPr>
        <w:pStyle w:val="BodyText"/>
        <w:shd w:val="clear" w:color="auto" w:fill="EAF8F8" w:themeFill="accent4" w:themeFillTint="33"/>
      </w:pPr>
      <w:r w:rsidRPr="0063642F">
        <w:t xml:space="preserve">Full-time or part-time fixed term employees are generally entitled to the same terms and conditions </w:t>
      </w:r>
      <w:r w:rsidR="00F30CFD">
        <w:t>as</w:t>
      </w:r>
      <w:r w:rsidRPr="0063642F">
        <w:t xml:space="preserve"> permanent employees.</w:t>
      </w:r>
    </w:p>
    <w:p w14:paraId="0ECB7C81" w14:textId="198A745B" w:rsidR="0093755F" w:rsidRDefault="0093755F" w:rsidP="0093755F">
      <w:pPr>
        <w:pStyle w:val="BodyText"/>
      </w:pPr>
      <w:r>
        <w:t>Your committee</w:t>
      </w:r>
      <w:r w:rsidRPr="0063642F">
        <w:t xml:space="preserve"> should be mindful it is </w:t>
      </w:r>
      <w:r w:rsidR="00484C77">
        <w:t>g</w:t>
      </w:r>
      <w:r w:rsidRPr="0063642F">
        <w:t>overnment policy that</w:t>
      </w:r>
      <w:r>
        <w:t xml:space="preserve">: </w:t>
      </w:r>
    </w:p>
    <w:p w14:paraId="2F7426EC" w14:textId="77777777" w:rsidR="0093755F" w:rsidRDefault="0093755F" w:rsidP="0093755F">
      <w:pPr>
        <w:pStyle w:val="BodyText"/>
        <w:numPr>
          <w:ilvl w:val="0"/>
          <w:numId w:val="30"/>
        </w:numPr>
      </w:pPr>
      <w:r>
        <w:t>The</w:t>
      </w:r>
      <w:r w:rsidRPr="0063642F">
        <w:t xml:space="preserve"> engagement of fixed term employees cannot be used for the purpose of undermining the job security or conditions of ongoing employees. </w:t>
      </w:r>
    </w:p>
    <w:p w14:paraId="380239B0" w14:textId="7EDF2D15" w:rsidR="0093755F" w:rsidRDefault="0093755F" w:rsidP="0093755F">
      <w:pPr>
        <w:pStyle w:val="BodyText"/>
        <w:numPr>
          <w:ilvl w:val="0"/>
          <w:numId w:val="30"/>
        </w:numPr>
        <w:rPr>
          <w:lang w:eastAsia="en-AU"/>
        </w:rPr>
      </w:pPr>
      <w:r>
        <w:t>P</w:t>
      </w:r>
      <w:r w:rsidRPr="0063642F">
        <w:t>ublic sector employers should give preference</w:t>
      </w:r>
      <w:r>
        <w:rPr>
          <w:lang w:eastAsia="en-AU"/>
        </w:rPr>
        <w:t xml:space="preserve"> to ongoing forms of employment over fixed</w:t>
      </w:r>
      <w:r w:rsidR="00F30CFD">
        <w:rPr>
          <w:lang w:eastAsia="en-AU"/>
        </w:rPr>
        <w:t>-</w:t>
      </w:r>
      <w:r>
        <w:rPr>
          <w:lang w:eastAsia="en-AU"/>
        </w:rPr>
        <w:t>term and casual arrangements wherever possible.</w:t>
      </w:r>
    </w:p>
    <w:p w14:paraId="6D5AD9B0" w14:textId="77777777" w:rsidR="003D5373" w:rsidRDefault="003D5373" w:rsidP="00FE2E0A">
      <w:pPr>
        <w:pStyle w:val="BodyText"/>
      </w:pPr>
      <w:r>
        <w:br w:type="page"/>
      </w:r>
    </w:p>
    <w:p w14:paraId="1F368102" w14:textId="60CB2BC4" w:rsidR="001F3EDB" w:rsidRDefault="003E41C4" w:rsidP="00A662DA">
      <w:pPr>
        <w:pStyle w:val="Heading1"/>
        <w:tabs>
          <w:tab w:val="left" w:pos="1134"/>
        </w:tabs>
      </w:pPr>
      <w:r>
        <w:lastRenderedPageBreak/>
        <w:t>13.10</w:t>
      </w:r>
      <w:r>
        <w:tab/>
      </w:r>
      <w:r w:rsidR="001F3EDB">
        <w:t>Public sector industrial relations policies</w:t>
      </w:r>
    </w:p>
    <w:p w14:paraId="31C313FF" w14:textId="25E53A4A" w:rsidR="005D777B" w:rsidRDefault="003F72A9" w:rsidP="00E67B05">
      <w:pPr>
        <w:pStyle w:val="BodyText"/>
        <w:rPr>
          <w:lang w:val="en-US"/>
        </w:rPr>
      </w:pPr>
      <w:r>
        <w:rPr>
          <w:lang w:val="en-US"/>
        </w:rPr>
        <w:t>T</w:t>
      </w:r>
      <w:r w:rsidRPr="00513F20">
        <w:rPr>
          <w:lang w:val="en-US"/>
        </w:rPr>
        <w:t xml:space="preserve">he </w:t>
      </w:r>
      <w:r w:rsidR="00F30CFD">
        <w:rPr>
          <w:lang w:val="en-US"/>
        </w:rPr>
        <w:t xml:space="preserve">Victorian </w:t>
      </w:r>
      <w:r w:rsidR="00E67B05">
        <w:rPr>
          <w:lang w:val="en-US"/>
        </w:rPr>
        <w:t>G</w:t>
      </w:r>
      <w:r w:rsidRPr="00513F20">
        <w:rPr>
          <w:lang w:val="en-US"/>
        </w:rPr>
        <w:t xml:space="preserve">overnment’s </w:t>
      </w:r>
      <w:hyperlink r:id="rId32" w:history="1">
        <w:r w:rsidRPr="00145210">
          <w:rPr>
            <w:rStyle w:val="Hyperlink"/>
            <w:lang w:val="en-US"/>
          </w:rPr>
          <w:t>Public Sector Industrial Relations Policies 2015</w:t>
        </w:r>
      </w:hyperlink>
      <w:r w:rsidR="005D777B">
        <w:rPr>
          <w:lang w:val="en-US"/>
        </w:rPr>
        <w:t>:</w:t>
      </w:r>
      <w:r>
        <w:rPr>
          <w:lang w:val="en-US"/>
        </w:rPr>
        <w:t xml:space="preserve"> </w:t>
      </w:r>
    </w:p>
    <w:p w14:paraId="4C197EC9" w14:textId="4A638A27" w:rsidR="005D777B" w:rsidRDefault="00923293" w:rsidP="0068606E">
      <w:pPr>
        <w:pStyle w:val="BodyText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apply </w:t>
      </w:r>
      <w:r w:rsidR="003F72A9">
        <w:rPr>
          <w:lang w:val="en-US"/>
        </w:rPr>
        <w:t xml:space="preserve">to all public sector employers and their </w:t>
      </w:r>
      <w:r w:rsidR="003F72A9" w:rsidRPr="00453E2C">
        <w:rPr>
          <w:b/>
          <w:lang w:val="en-US"/>
        </w:rPr>
        <w:t>non-executive</w:t>
      </w:r>
      <w:r w:rsidR="003F72A9">
        <w:rPr>
          <w:lang w:val="en-US"/>
        </w:rPr>
        <w:t xml:space="preserve"> level employees</w:t>
      </w:r>
      <w:r w:rsidR="00CB34D3">
        <w:rPr>
          <w:lang w:val="en-US"/>
        </w:rPr>
        <w:t xml:space="preserve"> </w:t>
      </w:r>
    </w:p>
    <w:p w14:paraId="64500E3D" w14:textId="67B7DA13" w:rsidR="003F72A9" w:rsidRDefault="00923293" w:rsidP="0068606E">
      <w:pPr>
        <w:pStyle w:val="BodyText"/>
        <w:numPr>
          <w:ilvl w:val="0"/>
          <w:numId w:val="33"/>
        </w:numPr>
        <w:rPr>
          <w:lang w:val="en-US"/>
        </w:rPr>
      </w:pPr>
      <w:r>
        <w:rPr>
          <w:lang w:val="en-US"/>
        </w:rPr>
        <w:t>o</w:t>
      </w:r>
      <w:r w:rsidR="003F72A9">
        <w:rPr>
          <w:lang w:val="en-US"/>
        </w:rPr>
        <w:t xml:space="preserve">utline </w:t>
      </w:r>
      <w:r w:rsidR="003F72A9" w:rsidRPr="00F30CFD">
        <w:rPr>
          <w:lang w:val="en-US"/>
        </w:rPr>
        <w:t>the</w:t>
      </w:r>
      <w:r w:rsidR="003F72A9" w:rsidRPr="00247BA3">
        <w:rPr>
          <w:b/>
          <w:bCs/>
          <w:lang w:val="en-US"/>
        </w:rPr>
        <w:t xml:space="preserve"> </w:t>
      </w:r>
      <w:r w:rsidR="005D777B" w:rsidRPr="00F30CFD">
        <w:rPr>
          <w:lang w:val="en-US"/>
        </w:rPr>
        <w:t>k</w:t>
      </w:r>
      <w:r w:rsidR="003F72A9" w:rsidRPr="00F30CFD">
        <w:rPr>
          <w:lang w:val="en-US"/>
        </w:rPr>
        <w:t>ey</w:t>
      </w:r>
      <w:r w:rsidR="003F72A9" w:rsidRPr="00247BA3">
        <w:rPr>
          <w:b/>
          <w:bCs/>
          <w:lang w:val="en-US"/>
        </w:rPr>
        <w:t xml:space="preserve"> principles</w:t>
      </w:r>
      <w:r w:rsidR="003F72A9">
        <w:rPr>
          <w:lang w:val="en-US"/>
        </w:rPr>
        <w:t xml:space="preserve"> underpinning the </w:t>
      </w:r>
      <w:r w:rsidR="007656E9">
        <w:rPr>
          <w:lang w:val="en-US"/>
        </w:rPr>
        <w:t>government’s</w:t>
      </w:r>
      <w:r w:rsidR="005D777B">
        <w:rPr>
          <w:lang w:val="en-US"/>
        </w:rPr>
        <w:t xml:space="preserve"> </w:t>
      </w:r>
      <w:r w:rsidR="003F72A9">
        <w:rPr>
          <w:lang w:val="en-US"/>
        </w:rPr>
        <w:t>approach to industrial relations</w:t>
      </w:r>
      <w:r w:rsidR="007656E9">
        <w:rPr>
          <w:lang w:val="en-US"/>
        </w:rPr>
        <w:t xml:space="preserve"> and its </w:t>
      </w:r>
      <w:r w:rsidR="007656E9" w:rsidRPr="00247BA3">
        <w:rPr>
          <w:b/>
          <w:bCs/>
          <w:lang w:val="en-US"/>
        </w:rPr>
        <w:t>position</w:t>
      </w:r>
      <w:r w:rsidR="007656E9" w:rsidRPr="00513F20">
        <w:rPr>
          <w:lang w:val="en-US"/>
        </w:rPr>
        <w:t xml:space="preserve"> </w:t>
      </w:r>
      <w:r w:rsidR="007656E9">
        <w:rPr>
          <w:lang w:val="en-US"/>
        </w:rPr>
        <w:t>on key issues</w:t>
      </w:r>
      <w:r w:rsidR="005D777B">
        <w:rPr>
          <w:lang w:val="en-US"/>
        </w:rPr>
        <w:t>.</w:t>
      </w:r>
    </w:p>
    <w:p w14:paraId="0799F308" w14:textId="7DEBFD81" w:rsidR="005D777B" w:rsidRDefault="005D777B" w:rsidP="00A662DA">
      <w:pPr>
        <w:pStyle w:val="BodyText"/>
        <w:ind w:left="1134"/>
        <w:rPr>
          <w:u w:val="single"/>
          <w:lang w:val="en-US"/>
        </w:rPr>
      </w:pPr>
      <w:r w:rsidRPr="005D777B">
        <w:rPr>
          <w:u w:val="single"/>
          <w:lang w:val="en-US"/>
        </w:rPr>
        <w:t>Example</w:t>
      </w:r>
      <w:r w:rsidR="003E41C4">
        <w:rPr>
          <w:u w:val="single"/>
          <w:lang w:val="en-US"/>
        </w:rPr>
        <w:t xml:space="preserve"> – key principle</w:t>
      </w:r>
    </w:p>
    <w:p w14:paraId="6E3F1F29" w14:textId="028A611E" w:rsidR="003F72A9" w:rsidRDefault="003E41C4" w:rsidP="00A662DA">
      <w:pPr>
        <w:pStyle w:val="BodyText"/>
        <w:ind w:left="1134"/>
        <w:rPr>
          <w:lang w:val="en-US"/>
        </w:rPr>
      </w:pPr>
      <w:r>
        <w:rPr>
          <w:lang w:val="en-US"/>
        </w:rPr>
        <w:t xml:space="preserve">A </w:t>
      </w:r>
      <w:r w:rsidR="005D777B">
        <w:rPr>
          <w:lang w:val="en-US"/>
        </w:rPr>
        <w:t>key principle is</w:t>
      </w:r>
      <w:r>
        <w:rPr>
          <w:lang w:val="en-US"/>
        </w:rPr>
        <w:t xml:space="preserve"> p</w:t>
      </w:r>
      <w:r w:rsidR="003F72A9">
        <w:rPr>
          <w:lang w:val="en-US"/>
        </w:rPr>
        <w:t>romoting industrial relations based on consultation and cooperation between employers, employees and their unions</w:t>
      </w:r>
      <w:r w:rsidR="00F30CFD">
        <w:rPr>
          <w:lang w:val="en-US"/>
        </w:rPr>
        <w:t>,</w:t>
      </w:r>
      <w:r w:rsidR="003F72A9">
        <w:rPr>
          <w:lang w:val="en-US"/>
        </w:rPr>
        <w:t xml:space="preserve"> and the right of employees to belong to a union and have access to effective union representation</w:t>
      </w:r>
      <w:r w:rsidR="00E67B05">
        <w:rPr>
          <w:lang w:val="en-US"/>
        </w:rPr>
        <w:t>.</w:t>
      </w:r>
    </w:p>
    <w:p w14:paraId="106624E3" w14:textId="7FE38FDE" w:rsidR="003E41C4" w:rsidRPr="00A662DA" w:rsidRDefault="003E41C4" w:rsidP="00A662DA">
      <w:pPr>
        <w:pStyle w:val="BodyText"/>
        <w:ind w:left="1134"/>
        <w:rPr>
          <w:u w:val="single"/>
          <w:lang w:val="en-US"/>
        </w:rPr>
      </w:pPr>
      <w:r w:rsidRPr="00A662DA">
        <w:rPr>
          <w:u w:val="single"/>
          <w:lang w:val="en-US"/>
        </w:rPr>
        <w:t>Example</w:t>
      </w:r>
      <w:r>
        <w:rPr>
          <w:u w:val="single"/>
          <w:lang w:val="en-US"/>
        </w:rPr>
        <w:t xml:space="preserve"> – key position</w:t>
      </w:r>
    </w:p>
    <w:p w14:paraId="570DEED5" w14:textId="6B9F7F4E" w:rsidR="003F72A9" w:rsidRDefault="003E41C4" w:rsidP="00A662DA">
      <w:pPr>
        <w:pStyle w:val="BodyText"/>
        <w:spacing w:after="180"/>
        <w:ind w:left="1134"/>
        <w:rPr>
          <w:lang w:val="en-US"/>
        </w:rPr>
      </w:pPr>
      <w:r>
        <w:rPr>
          <w:lang w:val="en-US"/>
        </w:rPr>
        <w:t>A</w:t>
      </w:r>
      <w:r w:rsidR="005D777B">
        <w:rPr>
          <w:lang w:val="en-US"/>
        </w:rPr>
        <w:t xml:space="preserve"> key position is</w:t>
      </w:r>
      <w:r>
        <w:rPr>
          <w:lang w:val="en-US"/>
        </w:rPr>
        <w:t xml:space="preserve"> a c</w:t>
      </w:r>
      <w:r w:rsidR="003F72A9">
        <w:rPr>
          <w:lang w:val="en-US"/>
        </w:rPr>
        <w:t>ommitment to making employees redundant as a last resort and giving priority to redeployment of employees whose roles ha</w:t>
      </w:r>
      <w:r w:rsidR="005E02C6">
        <w:rPr>
          <w:lang w:val="en-US"/>
        </w:rPr>
        <w:t>ve</w:t>
      </w:r>
      <w:r w:rsidR="003F72A9">
        <w:rPr>
          <w:lang w:val="en-US"/>
        </w:rPr>
        <w:t xml:space="preserve"> been declared surplus to needs</w:t>
      </w:r>
      <w:r w:rsidR="00E67B05">
        <w:rPr>
          <w:lang w:val="en-US"/>
        </w:rPr>
        <w:t>.</w:t>
      </w:r>
    </w:p>
    <w:p w14:paraId="08E1EB46" w14:textId="63F629F0" w:rsidR="005D777B" w:rsidRDefault="003F72A9" w:rsidP="00A662DA">
      <w:pPr>
        <w:pStyle w:val="BodyText"/>
        <w:spacing w:before="120"/>
        <w:rPr>
          <w:lang w:val="en-US"/>
        </w:rPr>
      </w:pPr>
      <w:r>
        <w:rPr>
          <w:lang w:val="en-US"/>
        </w:rPr>
        <w:t xml:space="preserve">An important part of the </w:t>
      </w:r>
      <w:hyperlink r:id="rId33" w:history="1">
        <w:r w:rsidR="00611F1B" w:rsidRPr="00C606FE">
          <w:rPr>
            <w:rStyle w:val="Hyperlink"/>
            <w:lang w:val="en-US"/>
          </w:rPr>
          <w:t>2015 p</w:t>
        </w:r>
        <w:r w:rsidRPr="00C606FE">
          <w:rPr>
            <w:rStyle w:val="Hyperlink"/>
            <w:lang w:val="en-US"/>
          </w:rPr>
          <w:t>olicies</w:t>
        </w:r>
      </w:hyperlink>
      <w:r>
        <w:rPr>
          <w:lang w:val="en-US"/>
        </w:rPr>
        <w:t xml:space="preserve"> are </w:t>
      </w:r>
      <w:r w:rsidR="005D777B">
        <w:rPr>
          <w:lang w:val="en-US"/>
        </w:rPr>
        <w:t xml:space="preserve">the </w:t>
      </w:r>
      <w:r>
        <w:rPr>
          <w:lang w:val="en-US"/>
        </w:rPr>
        <w:t>Wages Policy and the Enterprise Bargaining Framework</w:t>
      </w:r>
      <w:r w:rsidR="004D7A75">
        <w:rPr>
          <w:lang w:val="en-US"/>
        </w:rPr>
        <w:t xml:space="preserve"> – </w:t>
      </w:r>
      <w:r w:rsidR="00611F1B">
        <w:rPr>
          <w:lang w:val="en-US"/>
        </w:rPr>
        <w:t>for example,</w:t>
      </w:r>
      <w:r w:rsidR="00E67B05">
        <w:rPr>
          <w:lang w:val="en-US"/>
        </w:rPr>
        <w:t xml:space="preserve"> </w:t>
      </w:r>
      <w:r>
        <w:rPr>
          <w:lang w:val="en-US"/>
        </w:rPr>
        <w:t xml:space="preserve">public sector employers </w:t>
      </w:r>
      <w:r w:rsidR="004D7A75">
        <w:rPr>
          <w:lang w:val="en-US"/>
        </w:rPr>
        <w:t>must</w:t>
      </w:r>
      <w:r w:rsidRPr="00513F20">
        <w:rPr>
          <w:lang w:val="en-US"/>
        </w:rPr>
        <w:t xml:space="preserve"> </w:t>
      </w:r>
      <w:r>
        <w:rPr>
          <w:lang w:val="en-US"/>
        </w:rPr>
        <w:t xml:space="preserve">seek </w:t>
      </w:r>
      <w:r w:rsidR="005D777B">
        <w:rPr>
          <w:lang w:val="en-US"/>
        </w:rPr>
        <w:t>g</w:t>
      </w:r>
      <w:r>
        <w:rPr>
          <w:lang w:val="en-US"/>
        </w:rPr>
        <w:t xml:space="preserve">overnment approval to </w:t>
      </w:r>
      <w:r w:rsidR="003D6618">
        <w:rPr>
          <w:lang w:val="en-US"/>
        </w:rPr>
        <w:t>begin</w:t>
      </w:r>
      <w:r>
        <w:rPr>
          <w:lang w:val="en-US"/>
        </w:rPr>
        <w:t xml:space="preserve"> </w:t>
      </w:r>
      <w:r w:rsidR="00E67B05">
        <w:rPr>
          <w:lang w:val="en-US"/>
        </w:rPr>
        <w:t xml:space="preserve">enterprise </w:t>
      </w:r>
      <w:r>
        <w:rPr>
          <w:lang w:val="en-US"/>
        </w:rPr>
        <w:t>bargaining</w:t>
      </w:r>
      <w:r w:rsidR="00E67B05">
        <w:rPr>
          <w:lang w:val="en-US"/>
        </w:rPr>
        <w:t xml:space="preserve"> and </w:t>
      </w:r>
      <w:r w:rsidR="004D7A75">
        <w:rPr>
          <w:lang w:val="en-US"/>
        </w:rPr>
        <w:t xml:space="preserve">abide by its </w:t>
      </w:r>
      <w:r w:rsidR="00E67B05">
        <w:rPr>
          <w:lang w:val="en-US"/>
        </w:rPr>
        <w:t>cap on</w:t>
      </w:r>
      <w:r>
        <w:rPr>
          <w:lang w:val="en-US"/>
        </w:rPr>
        <w:t xml:space="preserve"> </w:t>
      </w:r>
      <w:r w:rsidR="00E67B05">
        <w:rPr>
          <w:lang w:val="en-US"/>
        </w:rPr>
        <w:t>a</w:t>
      </w:r>
      <w:r>
        <w:rPr>
          <w:lang w:val="en-US"/>
        </w:rPr>
        <w:t>nnual wage increases</w:t>
      </w:r>
      <w:r w:rsidR="00E67B05">
        <w:rPr>
          <w:lang w:val="en-US"/>
        </w:rPr>
        <w:t>.</w:t>
      </w:r>
      <w:r w:rsidR="005D777B">
        <w:rPr>
          <w:lang w:val="en-US"/>
        </w:rPr>
        <w:t xml:space="preserve"> The </w:t>
      </w:r>
      <w:r w:rsidR="00611F1B">
        <w:rPr>
          <w:lang w:val="en-US"/>
        </w:rPr>
        <w:t>p</w:t>
      </w:r>
      <w:r w:rsidR="005D777B">
        <w:rPr>
          <w:lang w:val="en-US"/>
        </w:rPr>
        <w:t xml:space="preserve">olicies include model clauses </w:t>
      </w:r>
      <w:r w:rsidR="00611F1B">
        <w:rPr>
          <w:lang w:val="en-US"/>
        </w:rPr>
        <w:t xml:space="preserve">for </w:t>
      </w:r>
      <w:r w:rsidR="005D777B">
        <w:rPr>
          <w:lang w:val="en-US"/>
        </w:rPr>
        <w:t>drafting enterprise agreements.</w:t>
      </w:r>
    </w:p>
    <w:p w14:paraId="758EDD25" w14:textId="733E2C7B" w:rsidR="00450F93" w:rsidRDefault="003F72A9" w:rsidP="00450F93">
      <w:r>
        <w:rPr>
          <w:lang w:val="en-US"/>
        </w:rPr>
        <w:t>For further information contact Public Sector Industrial Relations on</w:t>
      </w:r>
      <w:r w:rsidR="00450F93">
        <w:rPr>
          <w:lang w:val="en-US"/>
        </w:rPr>
        <w:t xml:space="preserve"> </w:t>
      </w:r>
      <w:hyperlink r:id="rId34" w:history="1">
        <w:r w:rsidR="00450F93">
          <w:rPr>
            <w:rStyle w:val="Hyperlink"/>
          </w:rPr>
          <w:t>Irv.info@dpc.vic.gov.au</w:t>
        </w:r>
      </w:hyperlink>
      <w:r w:rsidR="00450F93">
        <w:t>.</w:t>
      </w:r>
    </w:p>
    <w:bookmarkEnd w:id="5"/>
    <w:p w14:paraId="3B368735" w14:textId="34D4251A" w:rsidR="00356EB8" w:rsidRPr="003438B7" w:rsidRDefault="00FC52A5" w:rsidP="00BB0462">
      <w:pPr>
        <w:pStyle w:val="Heading1"/>
        <w:tabs>
          <w:tab w:val="left" w:pos="993"/>
        </w:tabs>
      </w:pPr>
      <w:r>
        <w:t>13.</w:t>
      </w:r>
      <w:r w:rsidR="003E41C4">
        <w:t>11</w:t>
      </w:r>
      <w:r>
        <w:tab/>
      </w:r>
      <w:r w:rsidR="00356EB8" w:rsidRPr="003438B7">
        <w:t>Superannuation</w:t>
      </w:r>
    </w:p>
    <w:p w14:paraId="35EDDD5D" w14:textId="49A01B01" w:rsidR="00356EB8" w:rsidRPr="001D7E04" w:rsidRDefault="007C140D" w:rsidP="00356EB8">
      <w:pPr>
        <w:pStyle w:val="Body"/>
      </w:pPr>
      <w:r>
        <w:t>An e</w:t>
      </w:r>
      <w:r w:rsidR="00356EB8" w:rsidRPr="001D7E04">
        <w:t xml:space="preserve">mployer </w:t>
      </w:r>
      <w:r w:rsidR="00356EB8">
        <w:t>must</w:t>
      </w:r>
      <w:r w:rsidR="00356EB8" w:rsidRPr="001D7E04">
        <w:t xml:space="preserve"> contribute a </w:t>
      </w:r>
      <w:r w:rsidR="00356EB8">
        <w:t xml:space="preserve">sum equivalent to a set percentage of </w:t>
      </w:r>
      <w:r>
        <w:t>an</w:t>
      </w:r>
      <w:r w:rsidR="00356EB8">
        <w:t xml:space="preserve"> </w:t>
      </w:r>
      <w:r w:rsidR="00356EB8" w:rsidRPr="001D7E04">
        <w:t>employee’s wages into a</w:t>
      </w:r>
      <w:r>
        <w:t xml:space="preserve"> </w:t>
      </w:r>
      <w:r w:rsidR="00356EB8" w:rsidRPr="001D7E04">
        <w:t xml:space="preserve">superannuation fund. </w:t>
      </w:r>
      <w:r w:rsidR="00356EB8">
        <w:t xml:space="preserve">The </w:t>
      </w:r>
      <w:hyperlink r:id="rId35" w:history="1">
        <w:r w:rsidR="00356EB8" w:rsidRPr="00FE2E0A">
          <w:rPr>
            <w:rStyle w:val="Hyperlink"/>
          </w:rPr>
          <w:t>Australian Taxation Office</w:t>
        </w:r>
      </w:hyperlink>
      <w:r w:rsidR="00356EB8">
        <w:t xml:space="preserve"> provides information on </w:t>
      </w:r>
      <w:hyperlink r:id="rId36" w:history="1">
        <w:r w:rsidR="00356EB8" w:rsidRPr="00FE2E0A">
          <w:rPr>
            <w:rStyle w:val="Hyperlink"/>
          </w:rPr>
          <w:t>superannuation</w:t>
        </w:r>
      </w:hyperlink>
      <w:r w:rsidR="00DF25C7">
        <w:t xml:space="preserve"> and employer obligations.</w:t>
      </w:r>
    </w:p>
    <w:p w14:paraId="0151FBDA" w14:textId="1E38D6EC" w:rsidR="00356EB8" w:rsidRDefault="006F5CA1" w:rsidP="006F5CA1">
      <w:pPr>
        <w:pStyle w:val="Heading1"/>
        <w:tabs>
          <w:tab w:val="left" w:pos="426"/>
        </w:tabs>
      </w:pPr>
      <w:r>
        <w:t>13.</w:t>
      </w:r>
      <w:r w:rsidR="003E41C4">
        <w:t>12</w:t>
      </w:r>
      <w:r>
        <w:tab/>
      </w:r>
      <w:r w:rsidR="00356EB8">
        <w:t>Workplace requirements</w:t>
      </w:r>
    </w:p>
    <w:p w14:paraId="41377D1D" w14:textId="0599E23F" w:rsidR="00356EB8" w:rsidRDefault="00356EB8" w:rsidP="00356EB8">
      <w:pPr>
        <w:pStyle w:val="Body"/>
      </w:pPr>
      <w:r>
        <w:t xml:space="preserve">Your committee must ensure that the </w:t>
      </w:r>
      <w:r w:rsidR="00DF25C7">
        <w:t xml:space="preserve">work environment </w:t>
      </w:r>
      <w:r>
        <w:t>and treatment of its employees meets all legal requirements</w:t>
      </w:r>
      <w:r w:rsidR="001A68AA">
        <w:t>. For example:</w:t>
      </w:r>
    </w:p>
    <w:p w14:paraId="6A95668C" w14:textId="7B893B70" w:rsidR="00356EB8" w:rsidRPr="003438B7" w:rsidRDefault="00356EB8" w:rsidP="005950E8">
      <w:pPr>
        <w:pStyle w:val="Heading2"/>
      </w:pPr>
      <w:r w:rsidRPr="003438B7">
        <w:t>Occupational health and safety</w:t>
      </w:r>
    </w:p>
    <w:p w14:paraId="3B6C82B9" w14:textId="6B531032" w:rsidR="00130408" w:rsidRDefault="004D21EF" w:rsidP="005950E8">
      <w:pPr>
        <w:pStyle w:val="Body"/>
      </w:pPr>
      <w:r>
        <w:t xml:space="preserve">Under </w:t>
      </w:r>
      <w:r w:rsidR="00AD5392">
        <w:t xml:space="preserve">sections 21 to </w:t>
      </w:r>
      <w:r w:rsidR="00D02DEF">
        <w:t xml:space="preserve">23 of </w:t>
      </w:r>
      <w:r>
        <w:t xml:space="preserve">the </w:t>
      </w:r>
      <w:r w:rsidRPr="00A662DA">
        <w:rPr>
          <w:i/>
        </w:rPr>
        <w:t>Occupational Health and Safety Act 2004</w:t>
      </w:r>
      <w:r>
        <w:t xml:space="preserve">, </w:t>
      </w:r>
      <w:r w:rsidR="00AA42FA">
        <w:t>t</w:t>
      </w:r>
      <w:r w:rsidR="00356EB8">
        <w:t>he</w:t>
      </w:r>
      <w:r w:rsidR="00356EB8" w:rsidRPr="003438B7">
        <w:t xml:space="preserve"> committee must</w:t>
      </w:r>
      <w:r w:rsidR="005555A8">
        <w:t xml:space="preserve">, </w:t>
      </w:r>
      <w:r w:rsidR="00CF308C">
        <w:t xml:space="preserve">as </w:t>
      </w:r>
      <w:r w:rsidR="005555A8">
        <w:t>far as reasonably practicable,</w:t>
      </w:r>
      <w:r w:rsidR="004B0E42">
        <w:t xml:space="preserve"> </w:t>
      </w:r>
      <w:r w:rsidR="00356EB8" w:rsidRPr="003438B7">
        <w:t>provide a safe and healthy workplace</w:t>
      </w:r>
      <w:r w:rsidR="001339A2">
        <w:t>,</w:t>
      </w:r>
      <w:r w:rsidR="00130408">
        <w:t xml:space="preserve"> </w:t>
      </w:r>
      <w:r w:rsidR="00577943">
        <w:t>whether or not in a building or structure</w:t>
      </w:r>
      <w:r w:rsidR="00D02DEF">
        <w:t>, for</w:t>
      </w:r>
      <w:r w:rsidR="00AD5392">
        <w:t>:</w:t>
      </w:r>
    </w:p>
    <w:p w14:paraId="5DBE93B5" w14:textId="52B345F4" w:rsidR="00130408" w:rsidRDefault="00130408" w:rsidP="0068606E">
      <w:pPr>
        <w:pStyle w:val="Body"/>
        <w:numPr>
          <w:ilvl w:val="0"/>
          <w:numId w:val="21"/>
        </w:numPr>
      </w:pPr>
      <w:r>
        <w:t>all staff employed by the committee</w:t>
      </w:r>
    </w:p>
    <w:p w14:paraId="49CEF10A" w14:textId="60B39647" w:rsidR="00130408" w:rsidRDefault="00130408" w:rsidP="0004007C">
      <w:pPr>
        <w:pStyle w:val="Body"/>
        <w:numPr>
          <w:ilvl w:val="0"/>
          <w:numId w:val="21"/>
        </w:numPr>
        <w:ind w:left="567" w:hanging="207"/>
      </w:pPr>
      <w:r>
        <w:t>other persons who enter the workplace</w:t>
      </w:r>
      <w:r w:rsidR="0004007C">
        <w:t xml:space="preserve">, </w:t>
      </w:r>
      <w:r w:rsidR="003D5373">
        <w:t>including</w:t>
      </w:r>
      <w:r>
        <w:t xml:space="preserve"> contractors</w:t>
      </w:r>
      <w:r w:rsidR="003D5373">
        <w:t xml:space="preserve"> and</w:t>
      </w:r>
      <w:r w:rsidR="00F0644E">
        <w:t xml:space="preserve"> volunteers</w:t>
      </w:r>
      <w:r w:rsidR="004B0E42">
        <w:t>.</w:t>
      </w:r>
    </w:p>
    <w:p w14:paraId="1A78DB62" w14:textId="07AE40AD" w:rsidR="001E482B" w:rsidRPr="001E482B" w:rsidRDefault="001E482B" w:rsidP="001E482B">
      <w:pPr>
        <w:pStyle w:val="Body"/>
      </w:pPr>
      <w:r>
        <w:t>The committee must also ensure that no one is exposed to a health and safety risk due to the actions of an employee of the committee.</w:t>
      </w:r>
    </w:p>
    <w:p w14:paraId="008BEF5E" w14:textId="02749C92" w:rsidR="00356EB8" w:rsidRDefault="00356EB8" w:rsidP="00130408">
      <w:pPr>
        <w:pStyle w:val="Body"/>
      </w:pPr>
      <w:r w:rsidRPr="003438B7">
        <w:t xml:space="preserve">WorkSafe Victoria </w:t>
      </w:r>
      <w:r w:rsidR="00BE733D">
        <w:t>has</w:t>
      </w:r>
      <w:r>
        <w:t xml:space="preserve"> </w:t>
      </w:r>
      <w:r w:rsidRPr="003438B7">
        <w:t xml:space="preserve">information on how </w:t>
      </w:r>
      <w:r w:rsidR="00130408">
        <w:t>the committee can meet its legal obligations</w:t>
      </w:r>
      <w:r>
        <w:t>, for example:</w:t>
      </w:r>
    </w:p>
    <w:p w14:paraId="136A88D9" w14:textId="77777777" w:rsidR="00356EB8" w:rsidRDefault="009B13A8" w:rsidP="0068606E">
      <w:pPr>
        <w:pStyle w:val="Body"/>
        <w:numPr>
          <w:ilvl w:val="0"/>
          <w:numId w:val="19"/>
        </w:numPr>
      </w:pPr>
      <w:hyperlink r:id="rId37" w:history="1">
        <w:r w:rsidR="00356EB8" w:rsidRPr="00750F67">
          <w:rPr>
            <w:rStyle w:val="Hyperlink"/>
          </w:rPr>
          <w:t>Guide to occupational health and safety compliance and enforcement framework 2018</w:t>
        </w:r>
      </w:hyperlink>
    </w:p>
    <w:p w14:paraId="791099F0" w14:textId="77777777" w:rsidR="00356EB8" w:rsidRDefault="009B13A8" w:rsidP="0068606E">
      <w:pPr>
        <w:pStyle w:val="Body"/>
        <w:numPr>
          <w:ilvl w:val="0"/>
          <w:numId w:val="19"/>
        </w:numPr>
      </w:pPr>
      <w:hyperlink r:id="rId38" w:history="1">
        <w:r w:rsidR="00356EB8" w:rsidRPr="007374D8">
          <w:rPr>
            <w:rStyle w:val="Hyperlink"/>
          </w:rPr>
          <w:t>Guide to occupational health and safety regulations 2017</w:t>
        </w:r>
      </w:hyperlink>
    </w:p>
    <w:p w14:paraId="0CEE7EDE" w14:textId="78FF5F07" w:rsidR="00356EB8" w:rsidRDefault="009B13A8" w:rsidP="006F2DFB">
      <w:pPr>
        <w:pStyle w:val="Body"/>
        <w:numPr>
          <w:ilvl w:val="0"/>
          <w:numId w:val="19"/>
        </w:numPr>
        <w:ind w:left="567" w:hanging="207"/>
      </w:pPr>
      <w:hyperlink r:id="rId39" w:history="1">
        <w:r w:rsidR="00356EB8" w:rsidRPr="008F2102">
          <w:rPr>
            <w:rStyle w:val="Hyperlink"/>
          </w:rPr>
          <w:t>Occupational health and safety in boards</w:t>
        </w:r>
      </w:hyperlink>
      <w:r w:rsidR="004D21EF">
        <w:t xml:space="preserve">, which </w:t>
      </w:r>
      <w:r w:rsidR="006F2DFB">
        <w:t xml:space="preserve">has </w:t>
      </w:r>
      <w:r w:rsidR="00356EB8">
        <w:t xml:space="preserve">information on </w:t>
      </w:r>
      <w:r w:rsidR="006F2DFB">
        <w:t xml:space="preserve">the OHS duties of </w:t>
      </w:r>
      <w:r w:rsidR="004D21EF">
        <w:t>board</w:t>
      </w:r>
      <w:r w:rsidR="006F2DFB">
        <w:t>s and</w:t>
      </w:r>
      <w:r w:rsidR="004D21EF">
        <w:t xml:space="preserve"> committee</w:t>
      </w:r>
      <w:r w:rsidR="006F2DFB">
        <w:t>s</w:t>
      </w:r>
      <w:r w:rsidR="004D21EF">
        <w:t xml:space="preserve"> </w:t>
      </w:r>
    </w:p>
    <w:p w14:paraId="3485D175" w14:textId="77777777" w:rsidR="00356EB8" w:rsidRDefault="009B13A8" w:rsidP="0068606E">
      <w:pPr>
        <w:pStyle w:val="Body"/>
        <w:numPr>
          <w:ilvl w:val="0"/>
          <w:numId w:val="19"/>
        </w:numPr>
      </w:pPr>
      <w:hyperlink r:id="rId40" w:history="1">
        <w:r w:rsidR="00356EB8" w:rsidRPr="00847A56">
          <w:rPr>
            <w:rStyle w:val="Hyperlink"/>
          </w:rPr>
          <w:t>Create a safe workplace</w:t>
        </w:r>
      </w:hyperlink>
      <w:r w:rsidR="00356EB8">
        <w:t>.</w:t>
      </w:r>
    </w:p>
    <w:p w14:paraId="0CC141EF" w14:textId="77777777" w:rsidR="00356EB8" w:rsidRDefault="00356EB8" w:rsidP="005950E8">
      <w:pPr>
        <w:pStyle w:val="Body"/>
      </w:pPr>
      <w:bookmarkStart w:id="6" w:name="_Hlk19004174"/>
      <w:r w:rsidRPr="00E81F55">
        <w:rPr>
          <w:b/>
        </w:rPr>
        <w:t>Further information</w:t>
      </w:r>
      <w:r>
        <w:t xml:space="preserve"> </w:t>
      </w:r>
    </w:p>
    <w:p w14:paraId="6D0B2BCA" w14:textId="77777777" w:rsidR="00356EB8" w:rsidRDefault="00356EB8" w:rsidP="005950E8">
      <w:pPr>
        <w:pStyle w:val="Body"/>
      </w:pPr>
      <w:r>
        <w:t xml:space="preserve">See the </w:t>
      </w:r>
      <w:hyperlink r:id="rId41" w:history="1">
        <w:r w:rsidRPr="007E7440">
          <w:rPr>
            <w:rStyle w:val="Hyperlink"/>
          </w:rPr>
          <w:t>WorkSafe Victoria</w:t>
        </w:r>
      </w:hyperlink>
      <w:r>
        <w:t xml:space="preserve"> website </w:t>
      </w:r>
      <w:r w:rsidRPr="005723B0">
        <w:t xml:space="preserve">or phone </w:t>
      </w:r>
      <w:r w:rsidRPr="005723B0">
        <w:rPr>
          <w:lang w:val="en-US"/>
        </w:rPr>
        <w:t>9641 1444 or 1800 136 089 (toll free)</w:t>
      </w:r>
      <w:r w:rsidRPr="005723B0">
        <w:t>.</w:t>
      </w:r>
    </w:p>
    <w:bookmarkEnd w:id="6"/>
    <w:p w14:paraId="05A1A63D" w14:textId="77777777" w:rsidR="00356EB8" w:rsidRDefault="00356EB8" w:rsidP="005950E8">
      <w:pPr>
        <w:pStyle w:val="Heading2"/>
      </w:pPr>
      <w:r>
        <w:lastRenderedPageBreak/>
        <w:t>Fair and respectful treatment in the workplace</w:t>
      </w:r>
    </w:p>
    <w:p w14:paraId="25731501" w14:textId="7A284442" w:rsidR="00356EB8" w:rsidRPr="00F33C45" w:rsidRDefault="00C3172F" w:rsidP="005950E8">
      <w:pPr>
        <w:pStyle w:val="Body"/>
      </w:pPr>
      <w:r>
        <w:t>The committee has</w:t>
      </w:r>
      <w:r w:rsidR="00356EB8" w:rsidRPr="00F33C45">
        <w:t xml:space="preserve"> a legal </w:t>
      </w:r>
      <w:r w:rsidR="00356EB8">
        <w:t>duty</w:t>
      </w:r>
      <w:r w:rsidR="00356EB8" w:rsidRPr="00F33C45">
        <w:t xml:space="preserve"> to make sure that everyone who works for </w:t>
      </w:r>
      <w:r>
        <w:t>it</w:t>
      </w:r>
      <w:r w:rsidR="00356EB8" w:rsidRPr="00F33C45">
        <w:t xml:space="preserve"> is treated fairly and with respect. </w:t>
      </w:r>
      <w:r w:rsidR="00356EB8">
        <w:t>For example, it is unlawful to:</w:t>
      </w:r>
    </w:p>
    <w:p w14:paraId="4AF98C99" w14:textId="79CFC41A" w:rsidR="00356EB8" w:rsidRDefault="00356EB8" w:rsidP="0068606E">
      <w:pPr>
        <w:pStyle w:val="Body"/>
        <w:numPr>
          <w:ilvl w:val="0"/>
          <w:numId w:val="1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ind w:left="720"/>
      </w:pPr>
      <w:r>
        <w:t>discriminate against a person based on personal characteristics such as age, gender, sexual orientation, or marital status.</w:t>
      </w:r>
      <w:r w:rsidR="004B1718">
        <w:t xml:space="preserve"> </w:t>
      </w:r>
      <w:r>
        <w:t xml:space="preserve">See the </w:t>
      </w:r>
      <w:hyperlink r:id="rId42" w:history="1">
        <w:r w:rsidRPr="00815FA5">
          <w:rPr>
            <w:rStyle w:val="Hyperlink"/>
          </w:rPr>
          <w:t>full list</w:t>
        </w:r>
      </w:hyperlink>
      <w:r>
        <w:t xml:space="preserve"> here.</w:t>
      </w:r>
    </w:p>
    <w:p w14:paraId="62939D20" w14:textId="77777777" w:rsidR="00356EB8" w:rsidRDefault="00356EB8" w:rsidP="0068606E">
      <w:pPr>
        <w:pStyle w:val="Body"/>
        <w:numPr>
          <w:ilvl w:val="0"/>
          <w:numId w:val="1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ind w:left="720"/>
      </w:pPr>
      <w:r>
        <w:t>sexually harass or victimise a person or vilify someone because of their race or religion.</w:t>
      </w:r>
    </w:p>
    <w:p w14:paraId="53FFC2C5" w14:textId="77777777" w:rsidR="00356EB8" w:rsidRPr="00245173" w:rsidRDefault="00356EB8" w:rsidP="005950E8">
      <w:pPr>
        <w:pStyle w:val="Heading3"/>
      </w:pPr>
      <w:r w:rsidRPr="00245173">
        <w:t xml:space="preserve">Further information </w:t>
      </w:r>
    </w:p>
    <w:p w14:paraId="15DFD9DC" w14:textId="77777777" w:rsidR="00356EB8" w:rsidRDefault="00356EB8" w:rsidP="005950E8">
      <w:pPr>
        <w:pStyle w:val="Body"/>
      </w:pPr>
      <w:r w:rsidRPr="00844463">
        <w:rPr>
          <w:szCs w:val="18"/>
        </w:rPr>
        <w:t xml:space="preserve">The </w:t>
      </w:r>
      <w:hyperlink r:id="rId43" w:history="1">
        <w:r w:rsidRPr="00844463">
          <w:rPr>
            <w:rStyle w:val="Hyperlink"/>
            <w:szCs w:val="18"/>
          </w:rPr>
          <w:t>Victorian Equal Opportunity and Human Rights Commission</w:t>
        </w:r>
      </w:hyperlink>
      <w:r w:rsidRPr="00844463">
        <w:rPr>
          <w:szCs w:val="18"/>
        </w:rPr>
        <w:t xml:space="preserve"> (</w:t>
      </w:r>
      <w:r w:rsidRPr="00844463">
        <w:rPr>
          <w:color w:val="333333"/>
          <w:szCs w:val="18"/>
          <w:lang w:val="en-GB"/>
        </w:rPr>
        <w:t>1300 292 153</w:t>
      </w:r>
      <w:r>
        <w:rPr>
          <w:color w:val="333333"/>
          <w:szCs w:val="18"/>
          <w:lang w:val="en-GB"/>
        </w:rPr>
        <w:t>)</w:t>
      </w:r>
      <w:r w:rsidRPr="00844463">
        <w:rPr>
          <w:color w:val="333333"/>
          <w:szCs w:val="18"/>
          <w:lang w:val="en-GB"/>
        </w:rPr>
        <w:t xml:space="preserve"> </w:t>
      </w:r>
      <w:r w:rsidRPr="00844463">
        <w:rPr>
          <w:szCs w:val="18"/>
        </w:rPr>
        <w:t>provides</w:t>
      </w:r>
      <w:r>
        <w:t xml:space="preserve"> information about: </w:t>
      </w:r>
    </w:p>
    <w:p w14:paraId="47B57BAD" w14:textId="57965AF0" w:rsidR="00356EB8" w:rsidRDefault="009B13A8" w:rsidP="0068606E">
      <w:pPr>
        <w:pStyle w:val="Body"/>
        <w:numPr>
          <w:ilvl w:val="0"/>
          <w:numId w:val="18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ind w:left="720"/>
      </w:pPr>
      <w:hyperlink r:id="rId44" w:history="1">
        <w:r w:rsidR="00B05216">
          <w:rPr>
            <w:rStyle w:val="Hyperlink"/>
          </w:rPr>
          <w:t>e</w:t>
        </w:r>
        <w:r w:rsidR="00356EB8" w:rsidRPr="002C4E5C">
          <w:rPr>
            <w:rStyle w:val="Hyperlink"/>
          </w:rPr>
          <w:t>mployer</w:t>
        </w:r>
        <w:r w:rsidR="00356EB8">
          <w:rPr>
            <w:rStyle w:val="Hyperlink"/>
          </w:rPr>
          <w:t>s</w:t>
        </w:r>
        <w:r w:rsidR="00B05216">
          <w:rPr>
            <w:rStyle w:val="Hyperlink"/>
          </w:rPr>
          <w:t>’</w:t>
        </w:r>
        <w:r w:rsidR="00356EB8" w:rsidRPr="002C4E5C">
          <w:rPr>
            <w:rStyle w:val="Hyperlink"/>
          </w:rPr>
          <w:t xml:space="preserve"> responsibility</w:t>
        </w:r>
      </w:hyperlink>
      <w:r w:rsidR="00356EB8">
        <w:t xml:space="preserve"> in the workplace under Victorian and federal laws</w:t>
      </w:r>
    </w:p>
    <w:p w14:paraId="185682E0" w14:textId="5B532BF6" w:rsidR="00356EB8" w:rsidRDefault="009B13A8" w:rsidP="0068606E">
      <w:pPr>
        <w:pStyle w:val="Body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ind w:left="720"/>
      </w:pPr>
      <w:hyperlink r:id="rId45" w:history="1">
        <w:r w:rsidR="00356EB8">
          <w:rPr>
            <w:rStyle w:val="Hyperlink"/>
          </w:rPr>
          <w:t>unlawful d</w:t>
        </w:r>
        <w:r w:rsidR="00356EB8" w:rsidRPr="009D01F8">
          <w:rPr>
            <w:rStyle w:val="Hyperlink"/>
          </w:rPr>
          <w:t>iscrimination</w:t>
        </w:r>
      </w:hyperlink>
      <w:r w:rsidR="00356EB8">
        <w:t xml:space="preserve"> and </w:t>
      </w:r>
      <w:r w:rsidR="00356EB8" w:rsidRPr="00023ACF">
        <w:t>Victoria’s</w:t>
      </w:r>
      <w:r w:rsidR="00356EB8" w:rsidRPr="00023ACF">
        <w:rPr>
          <w:i/>
        </w:rPr>
        <w:t xml:space="preserve"> Equal Opportunity Act 2010</w:t>
      </w:r>
      <w:r w:rsidR="004B1718">
        <w:t xml:space="preserve"> </w:t>
      </w:r>
    </w:p>
    <w:p w14:paraId="49E79BD9" w14:textId="77777777" w:rsidR="00356EB8" w:rsidRDefault="00356EB8" w:rsidP="0068606E">
      <w:pPr>
        <w:pStyle w:val="Body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ind w:left="720"/>
      </w:pPr>
      <w:r>
        <w:t xml:space="preserve">Victoria’s </w:t>
      </w:r>
      <w:hyperlink r:id="rId46" w:history="1">
        <w:r w:rsidRPr="00E82837">
          <w:rPr>
            <w:rStyle w:val="Hyperlink"/>
          </w:rPr>
          <w:t>Charter of Human Rights and Responsibilities</w:t>
        </w:r>
      </w:hyperlink>
      <w:r>
        <w:t>.</w:t>
      </w:r>
    </w:p>
    <w:p w14:paraId="5552B0D1" w14:textId="3D3E7A5C" w:rsidR="00356EB8" w:rsidRDefault="0090421B" w:rsidP="0090421B">
      <w:pPr>
        <w:pStyle w:val="Heading1"/>
        <w:tabs>
          <w:tab w:val="left" w:pos="1134"/>
        </w:tabs>
      </w:pPr>
      <w:r>
        <w:t>13.</w:t>
      </w:r>
      <w:r w:rsidR="003E41C4">
        <w:t>13</w:t>
      </w:r>
      <w:r>
        <w:tab/>
      </w:r>
      <w:r w:rsidR="00356EB8">
        <w:t>Record</w:t>
      </w:r>
      <w:r w:rsidR="004C7D8B">
        <w:t xml:space="preserve"> </w:t>
      </w:r>
      <w:r w:rsidR="00356EB8">
        <w:t>keeping</w:t>
      </w:r>
    </w:p>
    <w:p w14:paraId="60562BB9" w14:textId="77777777" w:rsidR="00356EB8" w:rsidRDefault="00356EB8" w:rsidP="00356EB8">
      <w:pPr>
        <w:pStyle w:val="Body"/>
      </w:pPr>
      <w:r>
        <w:t>A</w:t>
      </w:r>
      <w:r w:rsidRPr="001D7E04">
        <w:t xml:space="preserve"> key </w:t>
      </w:r>
      <w:r>
        <w:t>obligation of an employer is to maintain the employment records required by law</w:t>
      </w:r>
      <w:r w:rsidRPr="001D7E04">
        <w:t>.</w:t>
      </w:r>
      <w:r>
        <w:t xml:space="preserve"> </w:t>
      </w:r>
    </w:p>
    <w:p w14:paraId="64D84454" w14:textId="77777777" w:rsidR="00356EB8" w:rsidRPr="00245173" w:rsidRDefault="00356EB8" w:rsidP="00A662DA">
      <w:pPr>
        <w:pStyle w:val="Body"/>
        <w:ind w:left="360"/>
        <w:rPr>
          <w:u w:val="single"/>
        </w:rPr>
      </w:pPr>
      <w:r w:rsidRPr="00245173">
        <w:rPr>
          <w:u w:val="single"/>
        </w:rPr>
        <w:t>Example</w:t>
      </w:r>
    </w:p>
    <w:p w14:paraId="1EF7032F" w14:textId="2B681D53" w:rsidR="000C1BC7" w:rsidRDefault="00356EB8" w:rsidP="000C1BC7">
      <w:pPr>
        <w:pStyle w:val="Body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</w:pPr>
      <w:r>
        <w:t>Your c</w:t>
      </w:r>
      <w:r w:rsidRPr="001D7E04">
        <w:t xml:space="preserve">ommittee must keep all the information </w:t>
      </w:r>
      <w:r>
        <w:t xml:space="preserve">it needs </w:t>
      </w:r>
      <w:r w:rsidRPr="001D7E04">
        <w:t xml:space="preserve">to </w:t>
      </w:r>
      <w:r>
        <w:t>prove that</w:t>
      </w:r>
      <w:r w:rsidRPr="001D7E04">
        <w:t xml:space="preserve"> </w:t>
      </w:r>
      <w:r w:rsidR="00AA42FA">
        <w:t xml:space="preserve">it is meeting </w:t>
      </w:r>
      <w:r w:rsidRPr="001D7E04">
        <w:t xml:space="preserve">the provisions of </w:t>
      </w:r>
      <w:r>
        <w:t>the</w:t>
      </w:r>
      <w:r w:rsidRPr="001D7E04">
        <w:t xml:space="preserve"> award</w:t>
      </w:r>
      <w:r w:rsidR="005F152D">
        <w:t>, enterprise agreement,</w:t>
      </w:r>
      <w:r w:rsidRPr="001D7E04">
        <w:t xml:space="preserve"> or </w:t>
      </w:r>
      <w:r>
        <w:t xml:space="preserve">employment contract under which the employee is </w:t>
      </w:r>
      <w:r w:rsidR="00A632E6">
        <w:t>employed</w:t>
      </w:r>
      <w:r w:rsidRPr="001D7E04">
        <w:t>.</w:t>
      </w:r>
      <w:r w:rsidR="000C1BC7">
        <w:t xml:space="preserve"> </w:t>
      </w:r>
    </w:p>
    <w:p w14:paraId="4A2FB066" w14:textId="0C8FBDA2" w:rsidR="000C1BC7" w:rsidRDefault="000C1BC7" w:rsidP="000C1BC7">
      <w:pPr>
        <w:pStyle w:val="Body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</w:pPr>
      <w:r>
        <w:t xml:space="preserve">As part of your committee’s obligations, keep records of </w:t>
      </w:r>
      <w:r w:rsidR="00751D3B">
        <w:t>each employee’s</w:t>
      </w:r>
      <w:r>
        <w:t xml:space="preserve"> leave entitlements</w:t>
      </w:r>
      <w:r w:rsidR="00751D3B">
        <w:t>,</w:t>
      </w:r>
      <w:r>
        <w:t xml:space="preserve"> leave accrued</w:t>
      </w:r>
      <w:r w:rsidR="00751D3B">
        <w:t>,</w:t>
      </w:r>
      <w:r>
        <w:t xml:space="preserve"> and </w:t>
      </w:r>
      <w:r w:rsidR="00751D3B">
        <w:t xml:space="preserve">leave </w:t>
      </w:r>
      <w:r>
        <w:t xml:space="preserve">taken throughout the course of </w:t>
      </w:r>
      <w:r w:rsidR="00751D3B">
        <w:t>their</w:t>
      </w:r>
      <w:r>
        <w:t xml:space="preserve"> employment</w:t>
      </w:r>
      <w:r w:rsidR="00751D3B">
        <w:t>.</w:t>
      </w:r>
    </w:p>
    <w:p w14:paraId="4E97A19E" w14:textId="0238486C" w:rsidR="00356EB8" w:rsidRDefault="00356EB8" w:rsidP="0068606E">
      <w:pPr>
        <w:pStyle w:val="Body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</w:pPr>
      <w:r>
        <w:t>Time and wages records must be kept for seven years from the date</w:t>
      </w:r>
      <w:r w:rsidR="00AA42FA">
        <w:t xml:space="preserve"> of</w:t>
      </w:r>
      <w:r>
        <w:t xml:space="preserve"> the </w:t>
      </w:r>
      <w:r w:rsidR="00AA42FA">
        <w:t xml:space="preserve">first documented </w:t>
      </w:r>
      <w:r>
        <w:t>record.</w:t>
      </w:r>
    </w:p>
    <w:p w14:paraId="29C54488" w14:textId="2B1EC000" w:rsidR="00356EB8" w:rsidRPr="002F1195" w:rsidRDefault="0090421B" w:rsidP="005950E8">
      <w:pPr>
        <w:pStyle w:val="Heading1"/>
      </w:pPr>
      <w:bookmarkStart w:id="7" w:name="_Toc380503684"/>
      <w:bookmarkStart w:id="8" w:name="_Toc382289752"/>
      <w:r>
        <w:t>13.</w:t>
      </w:r>
      <w:r w:rsidR="003E41C4">
        <w:t>14</w:t>
      </w:r>
      <w:r>
        <w:tab/>
      </w:r>
      <w:r w:rsidR="00356EB8">
        <w:t>T</w:t>
      </w:r>
      <w:r w:rsidR="00356EB8" w:rsidRPr="002F1195">
        <w:t>axes and on</w:t>
      </w:r>
      <w:r w:rsidR="004C7D8B">
        <w:t>-</w:t>
      </w:r>
      <w:r w:rsidR="00356EB8" w:rsidRPr="002F1195">
        <w:t>costs</w:t>
      </w:r>
      <w:bookmarkEnd w:id="7"/>
      <w:bookmarkEnd w:id="8"/>
    </w:p>
    <w:p w14:paraId="0FE2DF4A" w14:textId="77777777" w:rsidR="00356EB8" w:rsidRPr="00DC339A" w:rsidRDefault="00356EB8" w:rsidP="00356EB8">
      <w:pPr>
        <w:pStyle w:val="Body"/>
      </w:pPr>
      <w:r>
        <w:t>E</w:t>
      </w:r>
      <w:r w:rsidRPr="001D7E04">
        <w:t>mployment conditions change often</w:t>
      </w:r>
      <w:r>
        <w:t>. T</w:t>
      </w:r>
      <w:r w:rsidRPr="001D7E04">
        <w:t>h</w:t>
      </w:r>
      <w:r>
        <w:t>is</w:t>
      </w:r>
      <w:r w:rsidRPr="001D7E04">
        <w:t xml:space="preserve"> information is provided as a guide only. A good source of up-to-date information </w:t>
      </w:r>
      <w:r w:rsidRPr="00DC339A">
        <w:t xml:space="preserve">is the </w:t>
      </w:r>
      <w:hyperlink r:id="rId47" w:history="1">
        <w:r w:rsidRPr="00DC339A">
          <w:rPr>
            <w:rStyle w:val="Hyperlink"/>
          </w:rPr>
          <w:t>Australian Government Department of Employment</w:t>
        </w:r>
      </w:hyperlink>
      <w:r w:rsidRPr="00DC339A">
        <w:t xml:space="preserve">. </w:t>
      </w:r>
    </w:p>
    <w:p w14:paraId="0D9CD11C" w14:textId="77777777" w:rsidR="00356EB8" w:rsidRPr="00DC339A" w:rsidRDefault="00356EB8" w:rsidP="005950E8">
      <w:pPr>
        <w:pStyle w:val="Heading2"/>
      </w:pPr>
      <w:bookmarkStart w:id="9" w:name="_Toc380503685"/>
      <w:bookmarkStart w:id="10" w:name="_Toc382289753"/>
      <w:r w:rsidRPr="00DC339A">
        <w:t>Income tax</w:t>
      </w:r>
      <w:bookmarkEnd w:id="9"/>
      <w:bookmarkEnd w:id="10"/>
    </w:p>
    <w:p w14:paraId="540ECDA0" w14:textId="33D4A9EF" w:rsidR="00356EB8" w:rsidRPr="00DC339A" w:rsidRDefault="00356EB8" w:rsidP="005950E8">
      <w:pPr>
        <w:pStyle w:val="Body"/>
      </w:pPr>
      <w:r w:rsidRPr="00DC339A">
        <w:t xml:space="preserve">Once </w:t>
      </w:r>
      <w:r w:rsidR="00AA42FA" w:rsidRPr="00DC339A">
        <w:t xml:space="preserve">your </w:t>
      </w:r>
      <w:r w:rsidRPr="00DC339A">
        <w:t xml:space="preserve">committee employs staff, it must register with the </w:t>
      </w:r>
      <w:hyperlink r:id="rId48" w:history="1">
        <w:r w:rsidRPr="00DC339A">
          <w:rPr>
            <w:rStyle w:val="Hyperlink"/>
          </w:rPr>
          <w:t>Australian Taxation Office</w:t>
        </w:r>
      </w:hyperlink>
      <w:r w:rsidR="00C10A9D" w:rsidRPr="00DC339A">
        <w:t>.</w:t>
      </w:r>
    </w:p>
    <w:p w14:paraId="242BD95C" w14:textId="68CFF925" w:rsidR="00C10A9D" w:rsidRPr="001D7E04" w:rsidRDefault="00C10A9D" w:rsidP="00A84CAB">
      <w:pPr>
        <w:pStyle w:val="Body"/>
      </w:pPr>
      <w:r w:rsidRPr="00DC339A">
        <w:t xml:space="preserve">The </w:t>
      </w:r>
      <w:r w:rsidR="004327F4" w:rsidRPr="00DC339A">
        <w:t xml:space="preserve">Australian Taxation Office </w:t>
      </w:r>
      <w:r w:rsidRPr="00DC339A">
        <w:t xml:space="preserve">has introduced a </w:t>
      </w:r>
      <w:hyperlink r:id="rId49" w:history="1">
        <w:r w:rsidRPr="00DC339A">
          <w:rPr>
            <w:rStyle w:val="Hyperlink"/>
          </w:rPr>
          <w:t>Single Touch Payroll</w:t>
        </w:r>
      </w:hyperlink>
      <w:r w:rsidRPr="00DC339A">
        <w:t xml:space="preserve"> system.</w:t>
      </w:r>
      <w:r w:rsidR="004B1718" w:rsidRPr="00DC339A">
        <w:t xml:space="preserve"> </w:t>
      </w:r>
      <w:r w:rsidRPr="00DC339A">
        <w:t xml:space="preserve">This is a </w:t>
      </w:r>
      <w:r w:rsidR="004C3E81" w:rsidRPr="00DC339A">
        <w:t xml:space="preserve">compulsory </w:t>
      </w:r>
      <w:r w:rsidRPr="00DC339A">
        <w:t xml:space="preserve">new way of reporting tax and superannuation. </w:t>
      </w:r>
      <w:r w:rsidR="00AA42FA" w:rsidRPr="00DC339A">
        <w:t>Y</w:t>
      </w:r>
      <w:r w:rsidRPr="00DC339A">
        <w:t xml:space="preserve">our committee </w:t>
      </w:r>
      <w:r w:rsidR="00AA42FA" w:rsidRPr="00DC339A">
        <w:t xml:space="preserve">must use this system if it </w:t>
      </w:r>
      <w:r w:rsidRPr="00DC339A">
        <w:t>employs four or more staff.</w:t>
      </w:r>
      <w:r w:rsidR="004B1718" w:rsidRPr="00DC339A">
        <w:t xml:space="preserve"> </w:t>
      </w:r>
      <w:r w:rsidRPr="00DC339A">
        <w:t>I</w:t>
      </w:r>
      <w:r w:rsidR="004C3E81" w:rsidRPr="00DC339A">
        <w:t>f</w:t>
      </w:r>
      <w:r w:rsidRPr="00DC339A">
        <w:t xml:space="preserve"> it employs less than four staff</w:t>
      </w:r>
      <w:r w:rsidR="00587C55" w:rsidRPr="00DC339A">
        <w:t>,</w:t>
      </w:r>
      <w:r w:rsidRPr="00DC339A">
        <w:t xml:space="preserve"> </w:t>
      </w:r>
      <w:r w:rsidR="004C3E81" w:rsidRPr="00DC339A">
        <w:t xml:space="preserve">reporting </w:t>
      </w:r>
      <w:r w:rsidRPr="00DC339A">
        <w:t>options</w:t>
      </w:r>
      <w:r w:rsidR="002A792D" w:rsidRPr="00DC339A">
        <w:t xml:space="preserve"> for</w:t>
      </w:r>
      <w:r w:rsidRPr="00DC339A">
        <w:t xml:space="preserve"> </w:t>
      </w:r>
      <w:hyperlink r:id="rId50" w:anchor="Microemployers1to4employees" w:history="1">
        <w:r w:rsidR="005D211D" w:rsidRPr="00DC339A">
          <w:rPr>
            <w:rStyle w:val="Hyperlink"/>
          </w:rPr>
          <w:t>micro employers</w:t>
        </w:r>
      </w:hyperlink>
      <w:r w:rsidR="005D211D" w:rsidRPr="00DC339A">
        <w:t xml:space="preserve"> can</w:t>
      </w:r>
      <w:r w:rsidR="005D211D">
        <w:t xml:space="preserve"> be used </w:t>
      </w:r>
      <w:r w:rsidR="006B6F46">
        <w:t>instead</w:t>
      </w:r>
      <w:r>
        <w:t>.</w:t>
      </w:r>
    </w:p>
    <w:p w14:paraId="56F364A4" w14:textId="77777777" w:rsidR="00356EB8" w:rsidRPr="003438B7" w:rsidRDefault="00356EB8" w:rsidP="005950E8">
      <w:pPr>
        <w:pStyle w:val="Heading2"/>
      </w:pPr>
      <w:bookmarkStart w:id="11" w:name="_Toc380503686"/>
      <w:bookmarkStart w:id="12" w:name="_Toc382289754"/>
      <w:r w:rsidRPr="003438B7">
        <w:t>Payroll tax</w:t>
      </w:r>
      <w:bookmarkEnd w:id="11"/>
      <w:bookmarkEnd w:id="12"/>
    </w:p>
    <w:p w14:paraId="5268C889" w14:textId="7D76FEDA" w:rsidR="00356EB8" w:rsidRPr="001D7E04" w:rsidRDefault="00356EB8" w:rsidP="005950E8">
      <w:pPr>
        <w:pStyle w:val="Body"/>
      </w:pPr>
      <w:r w:rsidRPr="001D7E04">
        <w:t>Payroll tax is paid by employers to the</w:t>
      </w:r>
      <w:r>
        <w:t xml:space="preserve"> </w:t>
      </w:r>
      <w:r w:rsidR="003F4105">
        <w:t>Victorian</w:t>
      </w:r>
      <w:r w:rsidR="003F4105" w:rsidRPr="001D7E04">
        <w:t xml:space="preserve"> </w:t>
      </w:r>
      <w:r w:rsidR="003F4105">
        <w:t>G</w:t>
      </w:r>
      <w:r w:rsidRPr="001D7E04">
        <w:t xml:space="preserve">overnment. </w:t>
      </w:r>
      <w:r>
        <w:t xml:space="preserve">As at the 2018-19 financial year, </w:t>
      </w:r>
      <w:r w:rsidR="00A1345F">
        <w:t>your</w:t>
      </w:r>
      <w:r w:rsidRPr="001D7E04">
        <w:t xml:space="preserve"> committee is liable for payroll tax if it has a monthly wages bill of more than $</w:t>
      </w:r>
      <w:r>
        <w:t>54,166</w:t>
      </w:r>
      <w:r w:rsidRPr="001D7E04">
        <w:t xml:space="preserve"> or an annual bill of $</w:t>
      </w:r>
      <w:r>
        <w:t>6</w:t>
      </w:r>
      <w:r w:rsidRPr="001D7E04">
        <w:t>5</w:t>
      </w:r>
      <w:r w:rsidR="00AC4F58">
        <w:t>0,000</w:t>
      </w:r>
      <w:r w:rsidRPr="001D7E04">
        <w:t>.</w:t>
      </w:r>
      <w:r>
        <w:t xml:space="preserve"> These rates increase regularly. For further </w:t>
      </w:r>
      <w:r w:rsidR="000D638B">
        <w:t xml:space="preserve">information </w:t>
      </w:r>
      <w:r>
        <w:t xml:space="preserve">see the </w:t>
      </w:r>
      <w:hyperlink r:id="rId51" w:history="1">
        <w:r w:rsidRPr="00B40F34">
          <w:rPr>
            <w:rStyle w:val="Hyperlink"/>
          </w:rPr>
          <w:t>State Revenue Office</w:t>
        </w:r>
      </w:hyperlink>
      <w:r>
        <w:t xml:space="preserve"> website.</w:t>
      </w:r>
    </w:p>
    <w:p w14:paraId="18E20B42" w14:textId="77777777" w:rsidR="00356EB8" w:rsidRPr="003438B7" w:rsidRDefault="00356EB8" w:rsidP="005950E8">
      <w:pPr>
        <w:pStyle w:val="Heading2"/>
      </w:pPr>
      <w:bookmarkStart w:id="13" w:name="_Toc380503687"/>
      <w:bookmarkStart w:id="14" w:name="_Toc382289755"/>
      <w:r w:rsidRPr="003438B7">
        <w:t>WorkCover</w:t>
      </w:r>
      <w:bookmarkEnd w:id="13"/>
      <w:bookmarkEnd w:id="14"/>
      <w:r>
        <w:t xml:space="preserve"> insurance</w:t>
      </w:r>
    </w:p>
    <w:p w14:paraId="098A13D4" w14:textId="7598D4FF" w:rsidR="005D30B9" w:rsidRDefault="00356EB8" w:rsidP="005950E8">
      <w:pPr>
        <w:pStyle w:val="Body"/>
      </w:pPr>
      <w:r w:rsidRPr="003438B7">
        <w:t>WorkCover is a no</w:t>
      </w:r>
      <w:r w:rsidR="003F4105">
        <w:t>-</w:t>
      </w:r>
      <w:r w:rsidRPr="003438B7">
        <w:t xml:space="preserve">fault, compulsory insurance scheme that provides coverage to employers in the event of work-related injury or death to their employees. </w:t>
      </w:r>
      <w:r w:rsidR="003F4105">
        <w:t>Y</w:t>
      </w:r>
      <w:r w:rsidR="005D30B9">
        <w:t>our</w:t>
      </w:r>
      <w:r w:rsidRPr="003438B7">
        <w:t xml:space="preserve"> committee </w:t>
      </w:r>
      <w:r w:rsidR="003F4105" w:rsidRPr="003438B7">
        <w:t xml:space="preserve">must have a WorkCover policy </w:t>
      </w:r>
      <w:r w:rsidR="003F4105">
        <w:t xml:space="preserve">if it </w:t>
      </w:r>
      <w:r w:rsidRPr="003438B7">
        <w:t xml:space="preserve">employs staff. </w:t>
      </w:r>
    </w:p>
    <w:p w14:paraId="71D75DF3" w14:textId="77777777" w:rsidR="00356EB8" w:rsidRDefault="00356EB8" w:rsidP="005950E8">
      <w:pPr>
        <w:pStyle w:val="Body"/>
      </w:pPr>
      <w:r>
        <w:t xml:space="preserve">For further information see </w:t>
      </w:r>
      <w:hyperlink r:id="rId52" w:history="1">
        <w:r w:rsidRPr="00072BAC">
          <w:rPr>
            <w:rStyle w:val="Hyperlink"/>
          </w:rPr>
          <w:t>Getting started with WorkCover insurance</w:t>
        </w:r>
      </w:hyperlink>
      <w:r>
        <w:t>.</w:t>
      </w:r>
    </w:p>
    <w:p w14:paraId="6E3C301B" w14:textId="5B45FDCC" w:rsidR="00356EB8" w:rsidRDefault="0090421B" w:rsidP="0090421B">
      <w:pPr>
        <w:pStyle w:val="Heading1"/>
        <w:tabs>
          <w:tab w:val="left" w:pos="426"/>
        </w:tabs>
      </w:pPr>
      <w:r>
        <w:lastRenderedPageBreak/>
        <w:t>13.</w:t>
      </w:r>
      <w:r w:rsidR="008957B1">
        <w:t>1</w:t>
      </w:r>
      <w:r w:rsidR="003E41C4">
        <w:t>5</w:t>
      </w:r>
      <w:r>
        <w:tab/>
      </w:r>
      <w:r w:rsidR="00356EB8">
        <w:t xml:space="preserve">Employees of </w:t>
      </w:r>
      <w:r w:rsidR="003F4105">
        <w:t xml:space="preserve">reserve </w:t>
      </w:r>
      <w:r w:rsidR="00356EB8">
        <w:t xml:space="preserve">users </w:t>
      </w:r>
    </w:p>
    <w:p w14:paraId="160E6D54" w14:textId="5738C80A" w:rsidR="00356EB8" w:rsidRDefault="00356EB8" w:rsidP="00356EB8">
      <w:pPr>
        <w:pStyle w:val="Body"/>
      </w:pPr>
      <w:r>
        <w:t>If a person or organisation using the reserve</w:t>
      </w:r>
      <w:r w:rsidR="000D638B">
        <w:t xml:space="preserve"> hires staff</w:t>
      </w:r>
      <w:r>
        <w:t xml:space="preserve">, </w:t>
      </w:r>
      <w:r w:rsidR="000D638B">
        <w:t xml:space="preserve">that person or </w:t>
      </w:r>
      <w:r w:rsidR="00B97D32">
        <w:t>organisation is</w:t>
      </w:r>
      <w:r>
        <w:t xml:space="preserve"> the employer.</w:t>
      </w:r>
      <w:r w:rsidR="004B1718">
        <w:t xml:space="preserve"> </w:t>
      </w:r>
    </w:p>
    <w:p w14:paraId="4284EA2F" w14:textId="77777777" w:rsidR="00356EB8" w:rsidRPr="00DE776E" w:rsidRDefault="00356EB8" w:rsidP="005950E8">
      <w:pPr>
        <w:pStyle w:val="Body"/>
        <w:shd w:val="clear" w:color="auto" w:fill="EAF8F8" w:themeFill="accent4" w:themeFillTint="33"/>
        <w:rPr>
          <w:u w:val="single"/>
        </w:rPr>
      </w:pPr>
      <w:r w:rsidRPr="00DE776E">
        <w:rPr>
          <w:u w:val="single"/>
        </w:rPr>
        <w:t>Example</w:t>
      </w:r>
    </w:p>
    <w:p w14:paraId="6F5AFDFB" w14:textId="7E39789B" w:rsidR="00BA25B4" w:rsidRDefault="00356EB8" w:rsidP="00BA25B4">
      <w:pPr>
        <w:pStyle w:val="Body"/>
        <w:shd w:val="clear" w:color="auto" w:fill="EAF8F8" w:themeFill="accent4" w:themeFillTint="33"/>
      </w:pPr>
      <w:r>
        <w:t>If t</w:t>
      </w:r>
      <w:r w:rsidR="006D2EF4">
        <w:t>he committee has issued a lease</w:t>
      </w:r>
      <w:r>
        <w:t xml:space="preserve"> to a tenant to operate a café on the reserve, the tenant is the employer of any staff </w:t>
      </w:r>
      <w:r w:rsidR="006D2EF4">
        <w:t xml:space="preserve">that </w:t>
      </w:r>
      <w:r>
        <w:t xml:space="preserve">they </w:t>
      </w:r>
      <w:r w:rsidR="00A632E6">
        <w:t>employ</w:t>
      </w:r>
      <w:r>
        <w:t xml:space="preserve"> to prepare meals or wait on tables. </w:t>
      </w:r>
    </w:p>
    <w:p w14:paraId="56538CD2" w14:textId="385F1BEC" w:rsidR="00311EED" w:rsidRDefault="0090421B" w:rsidP="00311EED">
      <w:pPr>
        <w:pStyle w:val="Heading1"/>
        <w:numPr>
          <w:ilvl w:val="0"/>
          <w:numId w:val="0"/>
        </w:numPr>
      </w:pPr>
      <w:r>
        <w:t>13.</w:t>
      </w:r>
      <w:r w:rsidR="008957B1">
        <w:t>1</w:t>
      </w:r>
      <w:r w:rsidR="003E41C4">
        <w:t>6</w:t>
      </w:r>
      <w:r>
        <w:tab/>
      </w:r>
      <w:r w:rsidR="00311EED">
        <w:t>Electronic copy</w:t>
      </w:r>
    </w:p>
    <w:p w14:paraId="442B7358" w14:textId="33BF02FA" w:rsidR="009C5F34" w:rsidRPr="005F1F7D" w:rsidRDefault="00311EED" w:rsidP="00444361">
      <w:pPr>
        <w:pStyle w:val="Body"/>
        <w:sectPr w:rsidR="009C5F34" w:rsidRPr="005F1F7D" w:rsidSect="00466212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endnotePr>
            <w:numFmt w:val="decimal"/>
          </w:endnotePr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  <w:r>
        <w:rPr>
          <w:lang w:eastAsia="en-AU"/>
        </w:rPr>
        <w:t>An electronic copy of this document is available from the DELWP website (</w:t>
      </w:r>
      <w:hyperlink r:id="rId59" w:history="1">
        <w:r w:rsidR="00A522EB" w:rsidRPr="00423C29">
          <w:rPr>
            <w:rStyle w:val="Hyperlink"/>
            <w:lang w:eastAsia="en-AU"/>
          </w:rPr>
          <w:t>www.delwp.vic.gov.au/committees</w:t>
        </w:r>
      </w:hyperlink>
      <w:r w:rsidR="00A522EB">
        <w:rPr>
          <w:lang w:eastAsia="en-AU"/>
        </w:rPr>
        <w:t>)</w:t>
      </w:r>
      <w:r w:rsidR="00444361">
        <w:rPr>
          <w:lang w:eastAsia="en-AU"/>
        </w:rPr>
        <w:t>.</w:t>
      </w:r>
    </w:p>
    <w:p w14:paraId="45B64050" w14:textId="071F68D3" w:rsid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p w14:paraId="5B050812" w14:textId="77777777" w:rsidR="00B539BA" w:rsidRPr="000467B8" w:rsidRDefault="00B539BA" w:rsidP="00FE4E27">
      <w:pPr>
        <w:pStyle w:val="BodyText"/>
      </w:pPr>
    </w:p>
    <w:sectPr w:rsidR="00B539BA" w:rsidRPr="000467B8" w:rsidSect="00466212">
      <w:footerReference w:type="default" r:id="rId60"/>
      <w:endnotePr>
        <w:numFmt w:val="decimal"/>
      </w:endnotePr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348B1" w14:textId="77777777" w:rsidR="009B13A8" w:rsidRDefault="009B13A8">
      <w:r>
        <w:separator/>
      </w:r>
    </w:p>
    <w:p w14:paraId="1A089A6D" w14:textId="77777777" w:rsidR="009B13A8" w:rsidRDefault="009B13A8"/>
    <w:p w14:paraId="5718FF45" w14:textId="77777777" w:rsidR="009B13A8" w:rsidRDefault="009B13A8"/>
  </w:endnote>
  <w:endnote w:type="continuationSeparator" w:id="0">
    <w:p w14:paraId="7B62DFAA" w14:textId="77777777" w:rsidR="009B13A8" w:rsidRDefault="009B13A8">
      <w:r>
        <w:continuationSeparator/>
      </w:r>
    </w:p>
    <w:p w14:paraId="1B2B8667" w14:textId="77777777" w:rsidR="009B13A8" w:rsidRDefault="009B13A8"/>
    <w:p w14:paraId="6FCFEAD1" w14:textId="77777777" w:rsidR="009B13A8" w:rsidRDefault="009B1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7995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  <w:gridCol w:w="3924"/>
    </w:tblGrid>
    <w:tr w:rsidR="00F30CFD" w14:paraId="344095FB" w14:textId="77777777" w:rsidTr="0083317D">
      <w:trPr>
        <w:trHeight w:val="132"/>
      </w:trPr>
      <w:tc>
        <w:tcPr>
          <w:tcW w:w="147" w:type="dxa"/>
        </w:tcPr>
        <w:p w14:paraId="4C6C9FB4" w14:textId="3A20D6F5" w:rsidR="00F30CFD" w:rsidRPr="00D55628" w:rsidRDefault="00F30CFD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6F0ADFFE" w14:textId="77777777" w:rsidR="00F30CFD" w:rsidRPr="00D55628" w:rsidRDefault="00F30CFD" w:rsidP="00DE028D">
          <w:pPr>
            <w:pStyle w:val="FooterEven"/>
          </w:pPr>
        </w:p>
      </w:tc>
      <w:tc>
        <w:tcPr>
          <w:tcW w:w="3924" w:type="dxa"/>
        </w:tcPr>
        <w:p w14:paraId="7E378D9C" w14:textId="57E45E84" w:rsidR="00F30CFD" w:rsidRPr="00D55628" w:rsidRDefault="00F30CFD" w:rsidP="00DE028D">
          <w:pPr>
            <w:pStyle w:val="FooterEven"/>
          </w:pPr>
        </w:p>
      </w:tc>
    </w:tr>
  </w:tbl>
  <w:p w14:paraId="099FE4E2" w14:textId="4E0DB1D6" w:rsidR="00F30CFD" w:rsidRPr="00151469" w:rsidRDefault="00F30CFD" w:rsidP="00C07D8F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151469">
      <w:rPr>
        <w:szCs w:val="16"/>
      </w:rPr>
      <w:t xml:space="preserve">Chapter 13 – page </w:t>
    </w:r>
    <w:r w:rsidRPr="00151469">
      <w:rPr>
        <w:szCs w:val="16"/>
      </w:rPr>
      <w:fldChar w:fldCharType="begin"/>
    </w:r>
    <w:r w:rsidRPr="00151469">
      <w:rPr>
        <w:szCs w:val="16"/>
      </w:rPr>
      <w:instrText xml:space="preserve"> PAGE  \* Arabic  \* MERGEFORMAT </w:instrText>
    </w:r>
    <w:r w:rsidRPr="00151469">
      <w:rPr>
        <w:szCs w:val="16"/>
      </w:rPr>
      <w:fldChar w:fldCharType="separate"/>
    </w:r>
    <w:r w:rsidRPr="00151469">
      <w:rPr>
        <w:szCs w:val="16"/>
      </w:rPr>
      <w:t>4</w:t>
    </w:r>
    <w:r w:rsidRPr="00151469">
      <w:rPr>
        <w:szCs w:val="16"/>
      </w:rPr>
      <w:fldChar w:fldCharType="end"/>
    </w:r>
  </w:p>
  <w:p w14:paraId="3D2556EF" w14:textId="70561CD8" w:rsidR="00F30CFD" w:rsidRPr="00B161EF" w:rsidRDefault="00F30CFD" w:rsidP="001F78C3">
    <w:pPr>
      <w:pStyle w:val="Footer"/>
      <w:tabs>
        <w:tab w:val="left" w:pos="3261"/>
        <w:tab w:val="center" w:pos="5670"/>
      </w:tabs>
      <w:rPr>
        <w:szCs w:val="16"/>
      </w:rPr>
    </w:pPr>
  </w:p>
  <w:p w14:paraId="2CC67ED9" w14:textId="77777777" w:rsidR="00F30CFD" w:rsidRDefault="00F30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F30CFD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F30CFD" w:rsidRPr="00CB1FB7" w:rsidRDefault="00F30CFD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77777777" w:rsidR="00F30CFD" w:rsidRPr="00D55628" w:rsidRDefault="00F30CF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5</w:t>
          </w:r>
          <w:r w:rsidRPr="00D55628">
            <w:fldChar w:fldCharType="end"/>
          </w:r>
        </w:p>
      </w:tc>
    </w:tr>
  </w:tbl>
  <w:p w14:paraId="10A0F1B9" w14:textId="4CBDF909" w:rsidR="00F30CFD" w:rsidRPr="00151469" w:rsidRDefault="00F30CFD" w:rsidP="0083317D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151469">
      <w:rPr>
        <w:szCs w:val="16"/>
      </w:rPr>
      <w:t xml:space="preserve">Chapter 13 – page </w:t>
    </w:r>
    <w:r w:rsidRPr="00151469">
      <w:rPr>
        <w:szCs w:val="16"/>
      </w:rPr>
      <w:fldChar w:fldCharType="begin"/>
    </w:r>
    <w:r w:rsidRPr="00151469">
      <w:rPr>
        <w:szCs w:val="16"/>
      </w:rPr>
      <w:instrText xml:space="preserve"> PAGE  \* Arabic  \* MERGEFORMAT </w:instrText>
    </w:r>
    <w:r w:rsidRPr="00151469">
      <w:rPr>
        <w:szCs w:val="16"/>
      </w:rPr>
      <w:fldChar w:fldCharType="separate"/>
    </w:r>
    <w:r w:rsidRPr="00151469">
      <w:rPr>
        <w:szCs w:val="16"/>
      </w:rPr>
      <w:t>4</w:t>
    </w:r>
    <w:r w:rsidRPr="00151469">
      <w:rPr>
        <w:szCs w:val="16"/>
      </w:rPr>
      <w:fldChar w:fldCharType="end"/>
    </w:r>
  </w:p>
  <w:p w14:paraId="7CB749FE" w14:textId="77777777" w:rsidR="00F30CFD" w:rsidRDefault="00F30CFD" w:rsidP="00DE028D">
    <w:pPr>
      <w:pStyle w:val="Footer"/>
    </w:pPr>
  </w:p>
  <w:p w14:paraId="1E9E8D16" w14:textId="77777777" w:rsidR="00F30CFD" w:rsidRPr="00DE028D" w:rsidRDefault="00F30CFD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702F" w14:textId="73DB6FC2" w:rsidR="00F30CFD" w:rsidRDefault="00F30CFD" w:rsidP="007B3336">
    <w:pPr>
      <w:pStyle w:val="Footer"/>
      <w:tabs>
        <w:tab w:val="left" w:pos="3261"/>
        <w:tab w:val="center" w:pos="5670"/>
      </w:tabs>
      <w:rPr>
        <w:szCs w:val="16"/>
      </w:rPr>
    </w:pPr>
  </w:p>
  <w:p w14:paraId="3804AE71" w14:textId="55DBDCF6" w:rsidR="00F30CFD" w:rsidRPr="00151469" w:rsidRDefault="00F30CFD" w:rsidP="00C07D8F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151469">
      <w:rPr>
        <w:szCs w:val="16"/>
      </w:rPr>
      <w:t xml:space="preserve">Chapter 13 – page </w:t>
    </w:r>
    <w:r w:rsidRPr="00151469">
      <w:rPr>
        <w:szCs w:val="16"/>
      </w:rPr>
      <w:fldChar w:fldCharType="begin"/>
    </w:r>
    <w:r w:rsidRPr="00151469">
      <w:rPr>
        <w:szCs w:val="16"/>
      </w:rPr>
      <w:instrText xml:space="preserve"> PAGE  \* Arabic  \* MERGEFORMAT </w:instrText>
    </w:r>
    <w:r w:rsidRPr="00151469">
      <w:rPr>
        <w:szCs w:val="16"/>
      </w:rPr>
      <w:fldChar w:fldCharType="separate"/>
    </w:r>
    <w:r w:rsidRPr="00151469">
      <w:rPr>
        <w:szCs w:val="16"/>
      </w:rPr>
      <w:t>4</w:t>
    </w:r>
    <w:r w:rsidRPr="00151469">
      <w:rPr>
        <w:szCs w:val="16"/>
      </w:rPr>
      <w:fldChar w:fldCharType="end"/>
    </w:r>
  </w:p>
  <w:p w14:paraId="445B5BDD" w14:textId="77777777" w:rsidR="00F30CFD" w:rsidRDefault="00F30CFD" w:rsidP="007B3336">
    <w:pPr>
      <w:pStyle w:val="Footer"/>
      <w:tabs>
        <w:tab w:val="left" w:pos="3261"/>
        <w:tab w:val="center" w:pos="5670"/>
      </w:tabs>
      <w:rPr>
        <w:szCs w:val="16"/>
      </w:rPr>
    </w:pPr>
  </w:p>
  <w:p w14:paraId="671E842C" w14:textId="291314EB" w:rsidR="00F30CFD" w:rsidRDefault="00F30CFD" w:rsidP="0027516B">
    <w:pPr>
      <w:pStyle w:val="Footer"/>
      <w:tabs>
        <w:tab w:val="left" w:pos="7569"/>
      </w:tabs>
      <w:spacing w:before="1200"/>
    </w:pPr>
    <w:r>
      <w:rPr>
        <w:noProof/>
        <w:lang w:val="en-GB" w:eastAsia="en-GB"/>
      </w:rPr>
      <w:drawing>
        <wp:anchor distT="0" distB="0" distL="114300" distR="114300" simplePos="0" relativeHeight="251652608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19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F30CFD" w:rsidRPr="009F69FA" w:rsidRDefault="00F30CFD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49536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F30CFD" w:rsidRPr="009F69FA" w:rsidRDefault="00F30CFD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46464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2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723A" w14:textId="77777777" w:rsidR="00F30CFD" w:rsidRPr="00151469" w:rsidRDefault="00F30CFD" w:rsidP="00151469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151469">
      <w:rPr>
        <w:szCs w:val="16"/>
      </w:rPr>
      <w:t xml:space="preserve">Chapter 13 – page </w:t>
    </w:r>
    <w:r w:rsidRPr="00151469">
      <w:rPr>
        <w:szCs w:val="16"/>
      </w:rPr>
      <w:fldChar w:fldCharType="begin"/>
    </w:r>
    <w:r w:rsidRPr="00151469">
      <w:rPr>
        <w:szCs w:val="16"/>
      </w:rPr>
      <w:instrText xml:space="preserve"> PAGE  \* Arabic  \* MERGEFORMAT </w:instrText>
    </w:r>
    <w:r w:rsidRPr="00151469">
      <w:rPr>
        <w:szCs w:val="16"/>
      </w:rPr>
      <w:fldChar w:fldCharType="separate"/>
    </w:r>
    <w:r>
      <w:rPr>
        <w:szCs w:val="16"/>
      </w:rPr>
      <w:t>6</w:t>
    </w:r>
    <w:r w:rsidRPr="00151469">
      <w:rPr>
        <w:szCs w:val="16"/>
      </w:rPr>
      <w:fldChar w:fldCharType="end"/>
    </w:r>
  </w:p>
  <w:p w14:paraId="5276F2C4" w14:textId="2171C22E" w:rsidR="00F30CFD" w:rsidRDefault="00F30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07C5" w14:textId="77777777" w:rsidR="009B13A8" w:rsidRPr="008F5280" w:rsidRDefault="009B13A8" w:rsidP="008F5280">
      <w:pPr>
        <w:pStyle w:val="FootnoteSeparator"/>
      </w:pPr>
    </w:p>
    <w:p w14:paraId="08E4D475" w14:textId="77777777" w:rsidR="009B13A8" w:rsidRDefault="009B13A8"/>
  </w:footnote>
  <w:footnote w:type="continuationSeparator" w:id="0">
    <w:p w14:paraId="07A02E92" w14:textId="77777777" w:rsidR="009B13A8" w:rsidRDefault="009B13A8" w:rsidP="008F5280">
      <w:pPr>
        <w:pStyle w:val="FootnoteSeparator"/>
      </w:pPr>
    </w:p>
    <w:p w14:paraId="27274439" w14:textId="77777777" w:rsidR="009B13A8" w:rsidRDefault="009B13A8"/>
    <w:p w14:paraId="2871067D" w14:textId="77777777" w:rsidR="009B13A8" w:rsidRDefault="009B13A8"/>
  </w:footnote>
  <w:footnote w:type="continuationNotice" w:id="1">
    <w:p w14:paraId="51EA7F25" w14:textId="77777777" w:rsidR="009B13A8" w:rsidRDefault="009B13A8" w:rsidP="00D55628"/>
    <w:p w14:paraId="2C1C9578" w14:textId="77777777" w:rsidR="009B13A8" w:rsidRDefault="009B13A8"/>
    <w:p w14:paraId="5F9EED11" w14:textId="77777777" w:rsidR="009B13A8" w:rsidRDefault="009B1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30CFD" w:rsidRPr="004D380A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376850F0" w:rsidR="00F30CFD" w:rsidRPr="004D380A" w:rsidRDefault="00F30CFD" w:rsidP="00DE028D">
          <w:pPr>
            <w:pStyle w:val="Header"/>
            <w:rPr>
              <w:b w:val="0"/>
            </w:rPr>
          </w:pPr>
          <w:r w:rsidRPr="004D380A">
            <w:rPr>
              <w:b w:val="0"/>
              <w:noProof/>
              <w:lang w:val="en-US"/>
            </w:rPr>
            <w:fldChar w:fldCharType="begin"/>
          </w:r>
          <w:r w:rsidRPr="004D380A">
            <w:rPr>
              <w:b w:val="0"/>
              <w:noProof/>
              <w:lang w:val="en-US"/>
            </w:rPr>
            <w:instrText xml:space="preserve"> STYLEREF  Title  \* MERGEFORMAT </w:instrText>
          </w:r>
          <w:r w:rsidRPr="004D380A">
            <w:rPr>
              <w:b w:val="0"/>
              <w:noProof/>
              <w:lang w:val="en-US"/>
            </w:rPr>
            <w:fldChar w:fldCharType="separate"/>
          </w:r>
          <w:r w:rsidR="0062020C">
            <w:rPr>
              <w:b w:val="0"/>
              <w:noProof/>
              <w:lang w:val="en-US"/>
            </w:rPr>
            <w:t>Chapter 13 – Employees</w:t>
          </w:r>
          <w:r w:rsidRPr="004D380A">
            <w:rPr>
              <w:b w:val="0"/>
              <w:noProof/>
            </w:rPr>
            <w:fldChar w:fldCharType="end"/>
          </w:r>
        </w:p>
      </w:tc>
    </w:tr>
  </w:tbl>
  <w:p w14:paraId="7E067304" w14:textId="77777777" w:rsidR="00F30CFD" w:rsidRDefault="00F30CFD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63F01" id="Rectangle 18" o:spid="_x0000_s1026" style="position:absolute;margin-left:-29.95pt;margin-top:0;width:21.25pt;height:96.4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5AA57" id="TriangleRight" o:spid="_x0000_s1026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4941E" id="TriangleLeft" o:spid="_x0000_s1026" style="position:absolute;margin-left:22.7pt;margin-top:22.7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ABC6B" id="Rectangle" o:spid="_x0000_s1026" style="position:absolute;margin-left:22.7pt;margin-top:22.7pt;width:114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877532B" w14:textId="77777777" w:rsidR="00F30CFD" w:rsidRPr="00DE028D" w:rsidRDefault="00F30CFD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30CFD" w:rsidRPr="004D380A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637CF6C6" w:rsidR="00F30CFD" w:rsidRPr="004D380A" w:rsidRDefault="00F30CFD" w:rsidP="00DE028D">
          <w:pPr>
            <w:pStyle w:val="Header"/>
            <w:rPr>
              <w:b w:val="0"/>
            </w:rPr>
          </w:pPr>
          <w:r w:rsidRPr="004D380A">
            <w:rPr>
              <w:b w:val="0"/>
              <w:noProof/>
            </w:rPr>
            <w:fldChar w:fldCharType="begin"/>
          </w:r>
          <w:r w:rsidRPr="004D380A">
            <w:rPr>
              <w:b w:val="0"/>
              <w:noProof/>
            </w:rPr>
            <w:instrText xml:space="preserve"> STYLEREF  Title  \* MERGEFORMAT </w:instrText>
          </w:r>
          <w:r w:rsidRPr="004D380A">
            <w:rPr>
              <w:b w:val="0"/>
              <w:noProof/>
            </w:rPr>
            <w:fldChar w:fldCharType="separate"/>
          </w:r>
          <w:r w:rsidR="0062020C">
            <w:rPr>
              <w:b w:val="0"/>
              <w:noProof/>
            </w:rPr>
            <w:t>Chapter 13 – Employees</w:t>
          </w:r>
          <w:r w:rsidRPr="004D380A">
            <w:rPr>
              <w:b w:val="0"/>
              <w:noProof/>
            </w:rPr>
            <w:fldChar w:fldCharType="end"/>
          </w:r>
        </w:p>
      </w:tc>
    </w:tr>
  </w:tbl>
  <w:p w14:paraId="64E87161" w14:textId="77777777" w:rsidR="00F30CFD" w:rsidRDefault="00F30CFD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6123EB" id="Rectangle 17" o:spid="_x0000_s1026" style="position:absolute;margin-left:-29.95pt;margin-top:0;width:21.25pt;height:96.4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B45B8" id="TriangleRight" o:spid="_x0000_s1026" style="position:absolute;margin-left:56.7pt;margin-top:22.7pt;width:68.05pt;height:7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66940" id="TriangleLeft" o:spid="_x0000_s1026" style="position:absolute;margin-left:22.7pt;margin-top:22.7pt;width:68.05pt;height:7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A450B" id="Rectangle" o:spid="_x0000_s1026" style="position:absolute;margin-left:22.7pt;margin-top:22.7pt;width:114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45270AD" w14:textId="77777777" w:rsidR="00F30CFD" w:rsidRPr="00DE028D" w:rsidRDefault="00F30CFD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F30CFD" w:rsidRPr="00E97294" w:rsidRDefault="00F30CFD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9D39F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1008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4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C3500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58847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BD82B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AE268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728"/>
    <w:multiLevelType w:val="hybridMultilevel"/>
    <w:tmpl w:val="E716C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046"/>
    <w:multiLevelType w:val="hybridMultilevel"/>
    <w:tmpl w:val="09EE5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9B2EC36A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3" w15:restartNumberingAfterBreak="0">
    <w:nsid w:val="093F5C11"/>
    <w:multiLevelType w:val="hybridMultilevel"/>
    <w:tmpl w:val="84B81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D5650F6"/>
    <w:multiLevelType w:val="hybridMultilevel"/>
    <w:tmpl w:val="5EC63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D14EB"/>
    <w:multiLevelType w:val="hybridMultilevel"/>
    <w:tmpl w:val="5CD4A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8" w15:restartNumberingAfterBreak="0">
    <w:nsid w:val="10C91232"/>
    <w:multiLevelType w:val="hybridMultilevel"/>
    <w:tmpl w:val="8AD820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224042"/>
    <w:multiLevelType w:val="hybridMultilevel"/>
    <w:tmpl w:val="CFA8E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70F7C"/>
    <w:multiLevelType w:val="hybridMultilevel"/>
    <w:tmpl w:val="5E60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2E87"/>
    <w:multiLevelType w:val="hybridMultilevel"/>
    <w:tmpl w:val="46CA3822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3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4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810DAA"/>
    <w:multiLevelType w:val="hybridMultilevel"/>
    <w:tmpl w:val="EE804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C84B55"/>
    <w:multiLevelType w:val="hybridMultilevel"/>
    <w:tmpl w:val="A3F22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2B5"/>
    <w:multiLevelType w:val="hybridMultilevel"/>
    <w:tmpl w:val="B3C86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A2E84"/>
    <w:multiLevelType w:val="hybridMultilevel"/>
    <w:tmpl w:val="61463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E01CE"/>
    <w:multiLevelType w:val="hybridMultilevel"/>
    <w:tmpl w:val="FEEC52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3BC1FA8"/>
    <w:multiLevelType w:val="hybridMultilevel"/>
    <w:tmpl w:val="AAB44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826638"/>
    <w:multiLevelType w:val="hybridMultilevel"/>
    <w:tmpl w:val="9E3E3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0" w15:restartNumberingAfterBreak="0">
    <w:nsid w:val="608B7709"/>
    <w:multiLevelType w:val="hybridMultilevel"/>
    <w:tmpl w:val="C4E03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57659"/>
    <w:multiLevelType w:val="hybridMultilevel"/>
    <w:tmpl w:val="F4806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3" w15:restartNumberingAfterBreak="0">
    <w:nsid w:val="65E002BB"/>
    <w:multiLevelType w:val="hybridMultilevel"/>
    <w:tmpl w:val="FF32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D856375"/>
    <w:multiLevelType w:val="hybridMultilevel"/>
    <w:tmpl w:val="86FCD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5F05D5"/>
    <w:multiLevelType w:val="hybridMultilevel"/>
    <w:tmpl w:val="D196E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8" w15:restartNumberingAfterBreak="0">
    <w:nsid w:val="74BA52CF"/>
    <w:multiLevelType w:val="hybridMultilevel"/>
    <w:tmpl w:val="3458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0" w15:restartNumberingAfterBreak="0">
    <w:nsid w:val="78757205"/>
    <w:multiLevelType w:val="hybridMultilevel"/>
    <w:tmpl w:val="ECD41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9"/>
  </w:num>
  <w:num w:numId="4">
    <w:abstractNumId w:val="39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37"/>
  </w:num>
  <w:num w:numId="10">
    <w:abstractNumId w:val="12"/>
  </w:num>
  <w:num w:numId="11">
    <w:abstractNumId w:val="16"/>
  </w:num>
  <w:num w:numId="12">
    <w:abstractNumId w:val="13"/>
  </w:num>
  <w:num w:numId="13">
    <w:abstractNumId w:val="20"/>
  </w:num>
  <w:num w:numId="14">
    <w:abstractNumId w:val="24"/>
  </w:num>
  <w:num w:numId="15">
    <w:abstractNumId w:val="10"/>
  </w:num>
  <w:num w:numId="16">
    <w:abstractNumId w:val="35"/>
  </w:num>
  <w:num w:numId="17">
    <w:abstractNumId w:val="27"/>
  </w:num>
  <w:num w:numId="18">
    <w:abstractNumId w:val="21"/>
  </w:num>
  <w:num w:numId="19">
    <w:abstractNumId w:val="38"/>
  </w:num>
  <w:num w:numId="20">
    <w:abstractNumId w:val="31"/>
  </w:num>
  <w:num w:numId="21">
    <w:abstractNumId w:val="1"/>
  </w:num>
  <w:num w:numId="22">
    <w:abstractNumId w:val="15"/>
  </w:num>
  <w:num w:numId="23">
    <w:abstractNumId w:val="33"/>
  </w:num>
  <w:num w:numId="24">
    <w:abstractNumId w:val="5"/>
  </w:num>
  <w:num w:numId="25">
    <w:abstractNumId w:val="9"/>
  </w:num>
  <w:num w:numId="26">
    <w:abstractNumId w:val="19"/>
  </w:num>
  <w:num w:numId="27">
    <w:abstractNumId w:val="30"/>
  </w:num>
  <w:num w:numId="28">
    <w:abstractNumId w:val="22"/>
  </w:num>
  <w:num w:numId="29">
    <w:abstractNumId w:val="36"/>
  </w:num>
  <w:num w:numId="30">
    <w:abstractNumId w:val="40"/>
  </w:num>
  <w:num w:numId="31">
    <w:abstractNumId w:val="6"/>
  </w:num>
  <w:num w:numId="32">
    <w:abstractNumId w:val="11"/>
  </w:num>
  <w:num w:numId="33">
    <w:abstractNumId w:val="0"/>
  </w:num>
  <w:num w:numId="34">
    <w:abstractNumId w:val="23"/>
  </w:num>
  <w:num w:numId="35">
    <w:abstractNumId w:val="3"/>
  </w:num>
  <w:num w:numId="36">
    <w:abstractNumId w:val="28"/>
  </w:num>
  <w:num w:numId="37">
    <w:abstractNumId w:val="4"/>
  </w:num>
  <w:num w:numId="38">
    <w:abstractNumId w:val="4"/>
  </w:num>
  <w:num w:numId="39">
    <w:abstractNumId w:val="4"/>
  </w:num>
  <w:num w:numId="40">
    <w:abstractNumId w:val="8"/>
  </w:num>
  <w:num w:numId="41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ECD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17E49"/>
    <w:rsid w:val="00020DB2"/>
    <w:rsid w:val="00021A33"/>
    <w:rsid w:val="00021BE2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CF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747"/>
    <w:rsid w:val="0003294B"/>
    <w:rsid w:val="00032D71"/>
    <w:rsid w:val="00033137"/>
    <w:rsid w:val="00033178"/>
    <w:rsid w:val="00033331"/>
    <w:rsid w:val="00033A8A"/>
    <w:rsid w:val="00033DF7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07C"/>
    <w:rsid w:val="0004086F"/>
    <w:rsid w:val="00040BDB"/>
    <w:rsid w:val="00040D64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389"/>
    <w:rsid w:val="00043650"/>
    <w:rsid w:val="00043BC5"/>
    <w:rsid w:val="00043E65"/>
    <w:rsid w:val="000441FC"/>
    <w:rsid w:val="00044882"/>
    <w:rsid w:val="00044BDC"/>
    <w:rsid w:val="00044C4C"/>
    <w:rsid w:val="000455E1"/>
    <w:rsid w:val="00045AA1"/>
    <w:rsid w:val="0004622F"/>
    <w:rsid w:val="000467B8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EDD"/>
    <w:rsid w:val="00052234"/>
    <w:rsid w:val="00052630"/>
    <w:rsid w:val="00052825"/>
    <w:rsid w:val="00052C61"/>
    <w:rsid w:val="00053244"/>
    <w:rsid w:val="000534D7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6B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0A4B"/>
    <w:rsid w:val="0008129B"/>
    <w:rsid w:val="000816AD"/>
    <w:rsid w:val="0008221A"/>
    <w:rsid w:val="00082224"/>
    <w:rsid w:val="0008252E"/>
    <w:rsid w:val="00082889"/>
    <w:rsid w:val="00082914"/>
    <w:rsid w:val="0008309F"/>
    <w:rsid w:val="000832C0"/>
    <w:rsid w:val="000838A2"/>
    <w:rsid w:val="00083917"/>
    <w:rsid w:val="00083CD6"/>
    <w:rsid w:val="00084187"/>
    <w:rsid w:val="00084CB1"/>
    <w:rsid w:val="000854DB"/>
    <w:rsid w:val="00085689"/>
    <w:rsid w:val="0008568F"/>
    <w:rsid w:val="00086767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9B0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20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0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757"/>
    <w:rsid w:val="000B3831"/>
    <w:rsid w:val="000B3DBA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1BC7"/>
    <w:rsid w:val="000C27FF"/>
    <w:rsid w:val="000C2888"/>
    <w:rsid w:val="000C2CCC"/>
    <w:rsid w:val="000C2CD8"/>
    <w:rsid w:val="000C2DE3"/>
    <w:rsid w:val="000C2E37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2C"/>
    <w:rsid w:val="000C57F2"/>
    <w:rsid w:val="000C59E2"/>
    <w:rsid w:val="000C6231"/>
    <w:rsid w:val="000C6A0D"/>
    <w:rsid w:val="000C707C"/>
    <w:rsid w:val="000C7611"/>
    <w:rsid w:val="000D050A"/>
    <w:rsid w:val="000D0526"/>
    <w:rsid w:val="000D06EA"/>
    <w:rsid w:val="000D084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A98"/>
    <w:rsid w:val="000D4EC1"/>
    <w:rsid w:val="000D638B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915"/>
    <w:rsid w:val="000E3AF5"/>
    <w:rsid w:val="000E3B96"/>
    <w:rsid w:val="000E4158"/>
    <w:rsid w:val="000E4B54"/>
    <w:rsid w:val="000E5211"/>
    <w:rsid w:val="000E53BD"/>
    <w:rsid w:val="000E55A2"/>
    <w:rsid w:val="000E5F4E"/>
    <w:rsid w:val="000E6684"/>
    <w:rsid w:val="000E66FC"/>
    <w:rsid w:val="000E6777"/>
    <w:rsid w:val="000E7410"/>
    <w:rsid w:val="000E7799"/>
    <w:rsid w:val="000E7936"/>
    <w:rsid w:val="000F03BC"/>
    <w:rsid w:val="000F09FF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87C"/>
    <w:rsid w:val="000F7A4B"/>
    <w:rsid w:val="000F7F8C"/>
    <w:rsid w:val="001000DA"/>
    <w:rsid w:val="00100611"/>
    <w:rsid w:val="001006AD"/>
    <w:rsid w:val="0010072A"/>
    <w:rsid w:val="001007D3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9A7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760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408"/>
    <w:rsid w:val="00130630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9A2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210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469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64A"/>
    <w:rsid w:val="00163C7B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1D3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4D3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99F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059"/>
    <w:rsid w:val="001A37A6"/>
    <w:rsid w:val="001A3889"/>
    <w:rsid w:val="001A4197"/>
    <w:rsid w:val="001A45A0"/>
    <w:rsid w:val="001A4A47"/>
    <w:rsid w:val="001A4BB8"/>
    <w:rsid w:val="001A50A5"/>
    <w:rsid w:val="001A548E"/>
    <w:rsid w:val="001A55E2"/>
    <w:rsid w:val="001A5625"/>
    <w:rsid w:val="001A677B"/>
    <w:rsid w:val="001A68AA"/>
    <w:rsid w:val="001A7616"/>
    <w:rsid w:val="001A788D"/>
    <w:rsid w:val="001A7B61"/>
    <w:rsid w:val="001A7F0C"/>
    <w:rsid w:val="001B025E"/>
    <w:rsid w:val="001B04EB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D45"/>
    <w:rsid w:val="001B5E7A"/>
    <w:rsid w:val="001B680F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C7A54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4B3"/>
    <w:rsid w:val="001D55F2"/>
    <w:rsid w:val="001D5C0F"/>
    <w:rsid w:val="001D5F7D"/>
    <w:rsid w:val="001D6553"/>
    <w:rsid w:val="001D65FF"/>
    <w:rsid w:val="001D686B"/>
    <w:rsid w:val="001D68CD"/>
    <w:rsid w:val="001D69FE"/>
    <w:rsid w:val="001D6E47"/>
    <w:rsid w:val="001D70F5"/>
    <w:rsid w:val="001D729D"/>
    <w:rsid w:val="001D74DB"/>
    <w:rsid w:val="001D764E"/>
    <w:rsid w:val="001E0190"/>
    <w:rsid w:val="001E0734"/>
    <w:rsid w:val="001E0ACF"/>
    <w:rsid w:val="001E0ADE"/>
    <w:rsid w:val="001E1098"/>
    <w:rsid w:val="001E1E96"/>
    <w:rsid w:val="001E24D4"/>
    <w:rsid w:val="001E25C4"/>
    <w:rsid w:val="001E298A"/>
    <w:rsid w:val="001E2E6F"/>
    <w:rsid w:val="001E301B"/>
    <w:rsid w:val="001E3511"/>
    <w:rsid w:val="001E3642"/>
    <w:rsid w:val="001E3DBD"/>
    <w:rsid w:val="001E4751"/>
    <w:rsid w:val="001E482B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653"/>
    <w:rsid w:val="001F386B"/>
    <w:rsid w:val="001F3D89"/>
    <w:rsid w:val="001F3EDB"/>
    <w:rsid w:val="001F4052"/>
    <w:rsid w:val="001F43BA"/>
    <w:rsid w:val="001F4435"/>
    <w:rsid w:val="001F4FA9"/>
    <w:rsid w:val="001F548A"/>
    <w:rsid w:val="001F54AB"/>
    <w:rsid w:val="001F579C"/>
    <w:rsid w:val="001F58E7"/>
    <w:rsid w:val="001F5952"/>
    <w:rsid w:val="001F5C40"/>
    <w:rsid w:val="001F5D92"/>
    <w:rsid w:val="001F5F13"/>
    <w:rsid w:val="001F668A"/>
    <w:rsid w:val="001F6AB6"/>
    <w:rsid w:val="001F6D64"/>
    <w:rsid w:val="001F765B"/>
    <w:rsid w:val="001F770A"/>
    <w:rsid w:val="001F78C3"/>
    <w:rsid w:val="00200A9D"/>
    <w:rsid w:val="00200B2E"/>
    <w:rsid w:val="00200D68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3B94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479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618"/>
    <w:rsid w:val="00245790"/>
    <w:rsid w:val="00245971"/>
    <w:rsid w:val="00245CE9"/>
    <w:rsid w:val="00245E00"/>
    <w:rsid w:val="00246012"/>
    <w:rsid w:val="00247B52"/>
    <w:rsid w:val="00247BA3"/>
    <w:rsid w:val="00247E49"/>
    <w:rsid w:val="00247EB2"/>
    <w:rsid w:val="002503D1"/>
    <w:rsid w:val="00250568"/>
    <w:rsid w:val="002507C7"/>
    <w:rsid w:val="002511AF"/>
    <w:rsid w:val="0025148B"/>
    <w:rsid w:val="00251AF9"/>
    <w:rsid w:val="00251BF4"/>
    <w:rsid w:val="00252146"/>
    <w:rsid w:val="002525B9"/>
    <w:rsid w:val="00252B3D"/>
    <w:rsid w:val="00252BA5"/>
    <w:rsid w:val="00253077"/>
    <w:rsid w:val="00253193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BE5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16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20F"/>
    <w:rsid w:val="00283345"/>
    <w:rsid w:val="00283592"/>
    <w:rsid w:val="0028363C"/>
    <w:rsid w:val="002837DB"/>
    <w:rsid w:val="00283E4F"/>
    <w:rsid w:val="00283FA3"/>
    <w:rsid w:val="002845AC"/>
    <w:rsid w:val="00284B07"/>
    <w:rsid w:val="002852F8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97FDB"/>
    <w:rsid w:val="002A0AED"/>
    <w:rsid w:val="002A13AD"/>
    <w:rsid w:val="002A1E37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92D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15DF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6836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93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B7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0E6"/>
    <w:rsid w:val="002F1D03"/>
    <w:rsid w:val="002F1ECC"/>
    <w:rsid w:val="002F25E9"/>
    <w:rsid w:val="002F3E23"/>
    <w:rsid w:val="002F4165"/>
    <w:rsid w:val="002F44C2"/>
    <w:rsid w:val="002F4916"/>
    <w:rsid w:val="002F4B98"/>
    <w:rsid w:val="002F4E7D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87"/>
    <w:rsid w:val="003027A8"/>
    <w:rsid w:val="00302A79"/>
    <w:rsid w:val="00302C18"/>
    <w:rsid w:val="00302C1B"/>
    <w:rsid w:val="00302C3A"/>
    <w:rsid w:val="00303054"/>
    <w:rsid w:val="0030357E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1EED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654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1F6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6E7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C5A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6EB8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13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58B7"/>
    <w:rsid w:val="0037615F"/>
    <w:rsid w:val="003765AD"/>
    <w:rsid w:val="00376D71"/>
    <w:rsid w:val="00376DC9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1CC"/>
    <w:rsid w:val="00393205"/>
    <w:rsid w:val="003936CD"/>
    <w:rsid w:val="003938BA"/>
    <w:rsid w:val="003938F3"/>
    <w:rsid w:val="0039396D"/>
    <w:rsid w:val="00393EA9"/>
    <w:rsid w:val="00394109"/>
    <w:rsid w:val="003942C6"/>
    <w:rsid w:val="00394362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4C6"/>
    <w:rsid w:val="003B6521"/>
    <w:rsid w:val="003B6539"/>
    <w:rsid w:val="003B6B44"/>
    <w:rsid w:val="003B6F54"/>
    <w:rsid w:val="003B6F8E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395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6FE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373"/>
    <w:rsid w:val="003D545B"/>
    <w:rsid w:val="003D5476"/>
    <w:rsid w:val="003D5A45"/>
    <w:rsid w:val="003D5EA3"/>
    <w:rsid w:val="003D6113"/>
    <w:rsid w:val="003D6245"/>
    <w:rsid w:val="003D6618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EEA"/>
    <w:rsid w:val="003E0F6E"/>
    <w:rsid w:val="003E106A"/>
    <w:rsid w:val="003E13A8"/>
    <w:rsid w:val="003E1E9A"/>
    <w:rsid w:val="003E22D4"/>
    <w:rsid w:val="003E24BD"/>
    <w:rsid w:val="003E2C4B"/>
    <w:rsid w:val="003E313F"/>
    <w:rsid w:val="003E3236"/>
    <w:rsid w:val="003E3643"/>
    <w:rsid w:val="003E38CA"/>
    <w:rsid w:val="003E39F6"/>
    <w:rsid w:val="003E3E59"/>
    <w:rsid w:val="003E41C4"/>
    <w:rsid w:val="003E4332"/>
    <w:rsid w:val="003E4DDB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1"/>
    <w:rsid w:val="003F3912"/>
    <w:rsid w:val="003F3984"/>
    <w:rsid w:val="003F4105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2A9"/>
    <w:rsid w:val="003F7759"/>
    <w:rsid w:val="003F7913"/>
    <w:rsid w:val="003F7B68"/>
    <w:rsid w:val="003F7E66"/>
    <w:rsid w:val="0040016A"/>
    <w:rsid w:val="004002A8"/>
    <w:rsid w:val="0040074B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02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81D"/>
    <w:rsid w:val="00407A8B"/>
    <w:rsid w:val="00407C9B"/>
    <w:rsid w:val="0041001A"/>
    <w:rsid w:val="00410504"/>
    <w:rsid w:val="00410A0F"/>
    <w:rsid w:val="00410BB0"/>
    <w:rsid w:val="00410C3D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0A3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62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27AA3"/>
    <w:rsid w:val="004308E9"/>
    <w:rsid w:val="00430AF9"/>
    <w:rsid w:val="00431066"/>
    <w:rsid w:val="004311F9"/>
    <w:rsid w:val="004313EF"/>
    <w:rsid w:val="00431441"/>
    <w:rsid w:val="00431F16"/>
    <w:rsid w:val="00432296"/>
    <w:rsid w:val="004327F4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361"/>
    <w:rsid w:val="004454C2"/>
    <w:rsid w:val="004454EA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0F93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E2C"/>
    <w:rsid w:val="00453F26"/>
    <w:rsid w:val="0045400B"/>
    <w:rsid w:val="0045406B"/>
    <w:rsid w:val="0045426D"/>
    <w:rsid w:val="00454631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60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37"/>
    <w:rsid w:val="00466E27"/>
    <w:rsid w:val="004674B9"/>
    <w:rsid w:val="00467962"/>
    <w:rsid w:val="00467F7A"/>
    <w:rsid w:val="00467FA5"/>
    <w:rsid w:val="0047027F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A5B"/>
    <w:rsid w:val="00483B71"/>
    <w:rsid w:val="00483D92"/>
    <w:rsid w:val="00483FCE"/>
    <w:rsid w:val="0048408A"/>
    <w:rsid w:val="004842EB"/>
    <w:rsid w:val="004845FF"/>
    <w:rsid w:val="00484746"/>
    <w:rsid w:val="00484C77"/>
    <w:rsid w:val="00485533"/>
    <w:rsid w:val="0048558F"/>
    <w:rsid w:val="00485759"/>
    <w:rsid w:val="00485BCA"/>
    <w:rsid w:val="00485D2C"/>
    <w:rsid w:val="00485DBF"/>
    <w:rsid w:val="00485E72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5F9A"/>
    <w:rsid w:val="00496446"/>
    <w:rsid w:val="00496465"/>
    <w:rsid w:val="00496982"/>
    <w:rsid w:val="00496C3E"/>
    <w:rsid w:val="00497001"/>
    <w:rsid w:val="0049713E"/>
    <w:rsid w:val="00497436"/>
    <w:rsid w:val="00497A05"/>
    <w:rsid w:val="00497AFC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0E42"/>
    <w:rsid w:val="004B10EC"/>
    <w:rsid w:val="004B130A"/>
    <w:rsid w:val="004B141F"/>
    <w:rsid w:val="004B1491"/>
    <w:rsid w:val="004B16BA"/>
    <w:rsid w:val="004B1718"/>
    <w:rsid w:val="004B1E8C"/>
    <w:rsid w:val="004B3169"/>
    <w:rsid w:val="004B3987"/>
    <w:rsid w:val="004B3A9B"/>
    <w:rsid w:val="004B3C6B"/>
    <w:rsid w:val="004B441C"/>
    <w:rsid w:val="004B44C5"/>
    <w:rsid w:val="004B4B80"/>
    <w:rsid w:val="004B4CD4"/>
    <w:rsid w:val="004B55DC"/>
    <w:rsid w:val="004B7FA5"/>
    <w:rsid w:val="004C0129"/>
    <w:rsid w:val="004C0479"/>
    <w:rsid w:val="004C0926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3E81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D8B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1EF"/>
    <w:rsid w:val="004D2591"/>
    <w:rsid w:val="004D2824"/>
    <w:rsid w:val="004D2B7A"/>
    <w:rsid w:val="004D2F0B"/>
    <w:rsid w:val="004D36AE"/>
    <w:rsid w:val="004D380A"/>
    <w:rsid w:val="004D3D51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242"/>
    <w:rsid w:val="004D7A75"/>
    <w:rsid w:val="004D7FA5"/>
    <w:rsid w:val="004E0044"/>
    <w:rsid w:val="004E00BD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47C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550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27EA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C00"/>
    <w:rsid w:val="00536DA1"/>
    <w:rsid w:val="00537024"/>
    <w:rsid w:val="0053708A"/>
    <w:rsid w:val="00537261"/>
    <w:rsid w:val="0053770A"/>
    <w:rsid w:val="005377FC"/>
    <w:rsid w:val="005379C2"/>
    <w:rsid w:val="00537E54"/>
    <w:rsid w:val="00537E60"/>
    <w:rsid w:val="0054010B"/>
    <w:rsid w:val="005402B2"/>
    <w:rsid w:val="00540758"/>
    <w:rsid w:val="00540776"/>
    <w:rsid w:val="005407D4"/>
    <w:rsid w:val="00540C0B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0D36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723"/>
    <w:rsid w:val="00554A10"/>
    <w:rsid w:val="005550AC"/>
    <w:rsid w:val="005555A8"/>
    <w:rsid w:val="00556342"/>
    <w:rsid w:val="005565AB"/>
    <w:rsid w:val="00556A21"/>
    <w:rsid w:val="00556E29"/>
    <w:rsid w:val="00556EE7"/>
    <w:rsid w:val="00557A63"/>
    <w:rsid w:val="00557EE9"/>
    <w:rsid w:val="005601A0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E89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943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D1B"/>
    <w:rsid w:val="00584E40"/>
    <w:rsid w:val="0058551B"/>
    <w:rsid w:val="00585C73"/>
    <w:rsid w:val="00585FAD"/>
    <w:rsid w:val="005867AE"/>
    <w:rsid w:val="005868CB"/>
    <w:rsid w:val="00586AFC"/>
    <w:rsid w:val="00587A9A"/>
    <w:rsid w:val="00587C55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6A5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2DF6"/>
    <w:rsid w:val="005A3174"/>
    <w:rsid w:val="005A3AE3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487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11D"/>
    <w:rsid w:val="005D2885"/>
    <w:rsid w:val="005D30B9"/>
    <w:rsid w:val="005D395A"/>
    <w:rsid w:val="005D4711"/>
    <w:rsid w:val="005D48A2"/>
    <w:rsid w:val="005D497A"/>
    <w:rsid w:val="005D4AA8"/>
    <w:rsid w:val="005D5D44"/>
    <w:rsid w:val="005D62B3"/>
    <w:rsid w:val="005D6941"/>
    <w:rsid w:val="005D6CC9"/>
    <w:rsid w:val="005D764B"/>
    <w:rsid w:val="005D773B"/>
    <w:rsid w:val="005D777B"/>
    <w:rsid w:val="005E0160"/>
    <w:rsid w:val="005E02C6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D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338"/>
    <w:rsid w:val="005F139E"/>
    <w:rsid w:val="005F152D"/>
    <w:rsid w:val="005F1B40"/>
    <w:rsid w:val="005F1F06"/>
    <w:rsid w:val="005F1F7D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259"/>
    <w:rsid w:val="005F6F53"/>
    <w:rsid w:val="005F70DA"/>
    <w:rsid w:val="005F73D0"/>
    <w:rsid w:val="005F7770"/>
    <w:rsid w:val="005F7AC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7DD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1F1B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20C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084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2F"/>
    <w:rsid w:val="00636447"/>
    <w:rsid w:val="0063667B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9F1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B2D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3E9C"/>
    <w:rsid w:val="00664914"/>
    <w:rsid w:val="00664BF0"/>
    <w:rsid w:val="00664C0B"/>
    <w:rsid w:val="00665A3C"/>
    <w:rsid w:val="00665D0D"/>
    <w:rsid w:val="00665E16"/>
    <w:rsid w:val="006662EB"/>
    <w:rsid w:val="00666812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C55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06E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14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08B"/>
    <w:rsid w:val="006B6204"/>
    <w:rsid w:val="006B62DD"/>
    <w:rsid w:val="006B62E9"/>
    <w:rsid w:val="006B65FF"/>
    <w:rsid w:val="006B6D7C"/>
    <w:rsid w:val="006B6F46"/>
    <w:rsid w:val="006B70FB"/>
    <w:rsid w:val="006B7163"/>
    <w:rsid w:val="006B7234"/>
    <w:rsid w:val="006B7260"/>
    <w:rsid w:val="006B77B4"/>
    <w:rsid w:val="006C04FB"/>
    <w:rsid w:val="006C08AE"/>
    <w:rsid w:val="006C0BAF"/>
    <w:rsid w:val="006C0C19"/>
    <w:rsid w:val="006C0C3D"/>
    <w:rsid w:val="006C10E2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2EF4"/>
    <w:rsid w:val="006D3267"/>
    <w:rsid w:val="006D3855"/>
    <w:rsid w:val="006D3E6B"/>
    <w:rsid w:val="006D4804"/>
    <w:rsid w:val="006D576A"/>
    <w:rsid w:val="006D58B9"/>
    <w:rsid w:val="006D5B8A"/>
    <w:rsid w:val="006D6250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784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490"/>
    <w:rsid w:val="006F17CE"/>
    <w:rsid w:val="006F1955"/>
    <w:rsid w:val="006F1C41"/>
    <w:rsid w:val="006F1E76"/>
    <w:rsid w:val="006F231D"/>
    <w:rsid w:val="006F277E"/>
    <w:rsid w:val="006F2852"/>
    <w:rsid w:val="006F2DFB"/>
    <w:rsid w:val="006F2F98"/>
    <w:rsid w:val="006F31D9"/>
    <w:rsid w:val="006F345F"/>
    <w:rsid w:val="006F34A5"/>
    <w:rsid w:val="006F34BB"/>
    <w:rsid w:val="006F3881"/>
    <w:rsid w:val="006F3B0E"/>
    <w:rsid w:val="006F3B92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CA1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931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48C"/>
    <w:rsid w:val="0071253A"/>
    <w:rsid w:val="0071329F"/>
    <w:rsid w:val="00713B45"/>
    <w:rsid w:val="00713E8C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4D7"/>
    <w:rsid w:val="0072260B"/>
    <w:rsid w:val="00722610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5C4B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098C"/>
    <w:rsid w:val="00730EE4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BA4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0"/>
    <w:rsid w:val="007420BB"/>
    <w:rsid w:val="0074211D"/>
    <w:rsid w:val="007422FE"/>
    <w:rsid w:val="007423AB"/>
    <w:rsid w:val="00742476"/>
    <w:rsid w:val="0074286B"/>
    <w:rsid w:val="00742974"/>
    <w:rsid w:val="00742B3A"/>
    <w:rsid w:val="00742E83"/>
    <w:rsid w:val="00743779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49"/>
    <w:rsid w:val="007470BB"/>
    <w:rsid w:val="007474E3"/>
    <w:rsid w:val="007477CB"/>
    <w:rsid w:val="0075075D"/>
    <w:rsid w:val="00750760"/>
    <w:rsid w:val="00750D2B"/>
    <w:rsid w:val="00750DDB"/>
    <w:rsid w:val="00750FCA"/>
    <w:rsid w:val="00751D3B"/>
    <w:rsid w:val="00752085"/>
    <w:rsid w:val="007525FC"/>
    <w:rsid w:val="00752726"/>
    <w:rsid w:val="0075295B"/>
    <w:rsid w:val="00752D96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5A4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4F7"/>
    <w:rsid w:val="007656E9"/>
    <w:rsid w:val="00765855"/>
    <w:rsid w:val="00765F41"/>
    <w:rsid w:val="00765F49"/>
    <w:rsid w:val="007660F9"/>
    <w:rsid w:val="0076674F"/>
    <w:rsid w:val="007667D9"/>
    <w:rsid w:val="00766982"/>
    <w:rsid w:val="00766B2B"/>
    <w:rsid w:val="00767205"/>
    <w:rsid w:val="007673BD"/>
    <w:rsid w:val="007673EA"/>
    <w:rsid w:val="00767426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336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535"/>
    <w:rsid w:val="007B6996"/>
    <w:rsid w:val="007B6D2E"/>
    <w:rsid w:val="007B6D7A"/>
    <w:rsid w:val="007B6D8F"/>
    <w:rsid w:val="007B72D9"/>
    <w:rsid w:val="007B74C4"/>
    <w:rsid w:val="007B7559"/>
    <w:rsid w:val="007B76C3"/>
    <w:rsid w:val="007B76F2"/>
    <w:rsid w:val="007B7A2B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CCA"/>
    <w:rsid w:val="007F5E2A"/>
    <w:rsid w:val="007F66D7"/>
    <w:rsid w:val="007F68B8"/>
    <w:rsid w:val="007F6F7A"/>
    <w:rsid w:val="007F7420"/>
    <w:rsid w:val="007F756E"/>
    <w:rsid w:val="007F75BE"/>
    <w:rsid w:val="007F79CF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0EA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41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5FB7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17D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4C1D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14"/>
    <w:rsid w:val="00853B92"/>
    <w:rsid w:val="00854775"/>
    <w:rsid w:val="00854A92"/>
    <w:rsid w:val="00854AFC"/>
    <w:rsid w:val="00854E25"/>
    <w:rsid w:val="008555BA"/>
    <w:rsid w:val="00855D27"/>
    <w:rsid w:val="00856840"/>
    <w:rsid w:val="00856B69"/>
    <w:rsid w:val="00856CF7"/>
    <w:rsid w:val="00857628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1D7B"/>
    <w:rsid w:val="0086233C"/>
    <w:rsid w:val="008637EB"/>
    <w:rsid w:val="00863896"/>
    <w:rsid w:val="008638D3"/>
    <w:rsid w:val="00863AA4"/>
    <w:rsid w:val="00863B8B"/>
    <w:rsid w:val="00863C49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9E"/>
    <w:rsid w:val="008732E8"/>
    <w:rsid w:val="008732FF"/>
    <w:rsid w:val="00873328"/>
    <w:rsid w:val="0087348D"/>
    <w:rsid w:val="00873EB9"/>
    <w:rsid w:val="00873FD3"/>
    <w:rsid w:val="00874231"/>
    <w:rsid w:val="00874405"/>
    <w:rsid w:val="00874B42"/>
    <w:rsid w:val="00874D8C"/>
    <w:rsid w:val="008759AC"/>
    <w:rsid w:val="00875CD3"/>
    <w:rsid w:val="00876BC7"/>
    <w:rsid w:val="00876D70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7B1"/>
    <w:rsid w:val="00895DD3"/>
    <w:rsid w:val="00896414"/>
    <w:rsid w:val="00897756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2C1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9A6"/>
    <w:rsid w:val="008E5BC6"/>
    <w:rsid w:val="008E6A3D"/>
    <w:rsid w:val="008E6D8A"/>
    <w:rsid w:val="008E77A1"/>
    <w:rsid w:val="008E7802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5E4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21B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1B4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36"/>
    <w:rsid w:val="0091745D"/>
    <w:rsid w:val="00917B5E"/>
    <w:rsid w:val="00920652"/>
    <w:rsid w:val="00920F57"/>
    <w:rsid w:val="009211A4"/>
    <w:rsid w:val="00921411"/>
    <w:rsid w:val="00921449"/>
    <w:rsid w:val="00921B1C"/>
    <w:rsid w:val="00921E43"/>
    <w:rsid w:val="00921F13"/>
    <w:rsid w:val="00922379"/>
    <w:rsid w:val="0092246F"/>
    <w:rsid w:val="00922550"/>
    <w:rsid w:val="00922660"/>
    <w:rsid w:val="00922B08"/>
    <w:rsid w:val="00923293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1FF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55F"/>
    <w:rsid w:val="009376D1"/>
    <w:rsid w:val="009401D3"/>
    <w:rsid w:val="009404AB"/>
    <w:rsid w:val="00940547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3114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DD6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42C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B0B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2EA"/>
    <w:rsid w:val="009A253C"/>
    <w:rsid w:val="009A2627"/>
    <w:rsid w:val="009A28F9"/>
    <w:rsid w:val="009A2E7A"/>
    <w:rsid w:val="009A2F7F"/>
    <w:rsid w:val="009A347B"/>
    <w:rsid w:val="009A38A5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2ED"/>
    <w:rsid w:val="009B1335"/>
    <w:rsid w:val="009B13A8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067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9E7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ADF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AA8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0C1"/>
    <w:rsid w:val="009F71D9"/>
    <w:rsid w:val="009F71DE"/>
    <w:rsid w:val="009F7316"/>
    <w:rsid w:val="009F7423"/>
    <w:rsid w:val="009F7B97"/>
    <w:rsid w:val="00A00531"/>
    <w:rsid w:val="00A00C6A"/>
    <w:rsid w:val="00A01194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5C4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45F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6D20"/>
    <w:rsid w:val="00A1747D"/>
    <w:rsid w:val="00A17AB7"/>
    <w:rsid w:val="00A17CDF"/>
    <w:rsid w:val="00A17DD5"/>
    <w:rsid w:val="00A208AA"/>
    <w:rsid w:val="00A209C4"/>
    <w:rsid w:val="00A20FFB"/>
    <w:rsid w:val="00A2103D"/>
    <w:rsid w:val="00A210E5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A7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3FF0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37A1A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2EB"/>
    <w:rsid w:val="00A52470"/>
    <w:rsid w:val="00A5290F"/>
    <w:rsid w:val="00A52E7D"/>
    <w:rsid w:val="00A53095"/>
    <w:rsid w:val="00A5321D"/>
    <w:rsid w:val="00A53885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2E6"/>
    <w:rsid w:val="00A63E8C"/>
    <w:rsid w:val="00A63EEE"/>
    <w:rsid w:val="00A64417"/>
    <w:rsid w:val="00A64C9F"/>
    <w:rsid w:val="00A653F3"/>
    <w:rsid w:val="00A65CFF"/>
    <w:rsid w:val="00A662DA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0D7"/>
    <w:rsid w:val="00A842B9"/>
    <w:rsid w:val="00A84AB7"/>
    <w:rsid w:val="00A84CAB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50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2FA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395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56E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4F58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C7EA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2BD"/>
    <w:rsid w:val="00AD5392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390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399"/>
    <w:rsid w:val="00B017D8"/>
    <w:rsid w:val="00B01A56"/>
    <w:rsid w:val="00B01E99"/>
    <w:rsid w:val="00B025A5"/>
    <w:rsid w:val="00B02D4C"/>
    <w:rsid w:val="00B0383E"/>
    <w:rsid w:val="00B03852"/>
    <w:rsid w:val="00B03B76"/>
    <w:rsid w:val="00B03C53"/>
    <w:rsid w:val="00B03D71"/>
    <w:rsid w:val="00B04FF3"/>
    <w:rsid w:val="00B05216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785"/>
    <w:rsid w:val="00B0787B"/>
    <w:rsid w:val="00B07891"/>
    <w:rsid w:val="00B07980"/>
    <w:rsid w:val="00B07B63"/>
    <w:rsid w:val="00B07C39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6749"/>
    <w:rsid w:val="00B175E1"/>
    <w:rsid w:val="00B175E2"/>
    <w:rsid w:val="00B1785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AE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C8F"/>
    <w:rsid w:val="00B30EA5"/>
    <w:rsid w:val="00B314D1"/>
    <w:rsid w:val="00B31748"/>
    <w:rsid w:val="00B31C36"/>
    <w:rsid w:val="00B31D68"/>
    <w:rsid w:val="00B31F3C"/>
    <w:rsid w:val="00B32130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37E6C"/>
    <w:rsid w:val="00B404B8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5B79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9BA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378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1C5E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97D32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552"/>
    <w:rsid w:val="00BA7B4C"/>
    <w:rsid w:val="00BB03B6"/>
    <w:rsid w:val="00BB0462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5F55"/>
    <w:rsid w:val="00BB6023"/>
    <w:rsid w:val="00BB6449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2B4F"/>
    <w:rsid w:val="00BD2B9E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245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33D"/>
    <w:rsid w:val="00BE7455"/>
    <w:rsid w:val="00BE780B"/>
    <w:rsid w:val="00BF01F9"/>
    <w:rsid w:val="00BF0A04"/>
    <w:rsid w:val="00BF0A20"/>
    <w:rsid w:val="00BF0C82"/>
    <w:rsid w:val="00BF0D9D"/>
    <w:rsid w:val="00BF12A1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53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8F9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D8F"/>
    <w:rsid w:val="00C07EB0"/>
    <w:rsid w:val="00C07EFB"/>
    <w:rsid w:val="00C101EC"/>
    <w:rsid w:val="00C1090A"/>
    <w:rsid w:val="00C109A6"/>
    <w:rsid w:val="00C10A9D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3F95"/>
    <w:rsid w:val="00C140F7"/>
    <w:rsid w:val="00C140FE"/>
    <w:rsid w:val="00C14361"/>
    <w:rsid w:val="00C14669"/>
    <w:rsid w:val="00C146B2"/>
    <w:rsid w:val="00C14DD9"/>
    <w:rsid w:val="00C150EB"/>
    <w:rsid w:val="00C15A13"/>
    <w:rsid w:val="00C15D91"/>
    <w:rsid w:val="00C15DF5"/>
    <w:rsid w:val="00C15E26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3E7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142"/>
    <w:rsid w:val="00C26C8E"/>
    <w:rsid w:val="00C26FA8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1F7"/>
    <w:rsid w:val="00C41570"/>
    <w:rsid w:val="00C41864"/>
    <w:rsid w:val="00C41CD3"/>
    <w:rsid w:val="00C4238C"/>
    <w:rsid w:val="00C42B7C"/>
    <w:rsid w:val="00C42CCE"/>
    <w:rsid w:val="00C42D07"/>
    <w:rsid w:val="00C42D21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CF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AE"/>
    <w:rsid w:val="00C565FD"/>
    <w:rsid w:val="00C575DC"/>
    <w:rsid w:val="00C579C8"/>
    <w:rsid w:val="00C57C36"/>
    <w:rsid w:val="00C57CD4"/>
    <w:rsid w:val="00C6039F"/>
    <w:rsid w:val="00C60451"/>
    <w:rsid w:val="00C60670"/>
    <w:rsid w:val="00C606FE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0E7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77FB8"/>
    <w:rsid w:val="00C80C33"/>
    <w:rsid w:val="00C80F2F"/>
    <w:rsid w:val="00C83B22"/>
    <w:rsid w:val="00C84544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29D"/>
    <w:rsid w:val="00C923FF"/>
    <w:rsid w:val="00C92C19"/>
    <w:rsid w:val="00C9323B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585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4D3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0B5C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08C"/>
    <w:rsid w:val="00CF3444"/>
    <w:rsid w:val="00CF3659"/>
    <w:rsid w:val="00CF3F6E"/>
    <w:rsid w:val="00CF4C20"/>
    <w:rsid w:val="00CF5159"/>
    <w:rsid w:val="00CF57B2"/>
    <w:rsid w:val="00CF5C7A"/>
    <w:rsid w:val="00CF603F"/>
    <w:rsid w:val="00CF65C2"/>
    <w:rsid w:val="00CF67DF"/>
    <w:rsid w:val="00CF68B1"/>
    <w:rsid w:val="00CF6922"/>
    <w:rsid w:val="00CF6C84"/>
    <w:rsid w:val="00CF6D76"/>
    <w:rsid w:val="00CF73A4"/>
    <w:rsid w:val="00CF7747"/>
    <w:rsid w:val="00CF7A36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DEF"/>
    <w:rsid w:val="00D02F06"/>
    <w:rsid w:val="00D030D5"/>
    <w:rsid w:val="00D033CA"/>
    <w:rsid w:val="00D0346B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7DC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339"/>
    <w:rsid w:val="00D175A9"/>
    <w:rsid w:val="00D17A23"/>
    <w:rsid w:val="00D17F9A"/>
    <w:rsid w:val="00D2011A"/>
    <w:rsid w:val="00D20494"/>
    <w:rsid w:val="00D20BB8"/>
    <w:rsid w:val="00D20D62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EB5"/>
    <w:rsid w:val="00D33F14"/>
    <w:rsid w:val="00D34079"/>
    <w:rsid w:val="00D34502"/>
    <w:rsid w:val="00D34734"/>
    <w:rsid w:val="00D34820"/>
    <w:rsid w:val="00D352D8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BA6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498B"/>
    <w:rsid w:val="00D7587C"/>
    <w:rsid w:val="00D7591E"/>
    <w:rsid w:val="00D75FF5"/>
    <w:rsid w:val="00D762FF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96F"/>
    <w:rsid w:val="00D92B1C"/>
    <w:rsid w:val="00D931C3"/>
    <w:rsid w:val="00D93E1C"/>
    <w:rsid w:val="00D943AD"/>
    <w:rsid w:val="00D94F01"/>
    <w:rsid w:val="00D94F7E"/>
    <w:rsid w:val="00D950F9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770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21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39A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7D0"/>
    <w:rsid w:val="00DC48BC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34B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1E03"/>
    <w:rsid w:val="00DF2132"/>
    <w:rsid w:val="00DF2161"/>
    <w:rsid w:val="00DF21D2"/>
    <w:rsid w:val="00DF2488"/>
    <w:rsid w:val="00DF254F"/>
    <w:rsid w:val="00DF25C7"/>
    <w:rsid w:val="00DF260E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CB9"/>
    <w:rsid w:val="00E22F11"/>
    <w:rsid w:val="00E23BEA"/>
    <w:rsid w:val="00E24147"/>
    <w:rsid w:val="00E247AC"/>
    <w:rsid w:val="00E247B4"/>
    <w:rsid w:val="00E24883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2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6F09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05"/>
    <w:rsid w:val="00E67BA4"/>
    <w:rsid w:val="00E709CF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7B7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A14"/>
    <w:rsid w:val="00E85D3D"/>
    <w:rsid w:val="00E86111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0A2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97D35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720"/>
    <w:rsid w:val="00EB1E86"/>
    <w:rsid w:val="00EB2307"/>
    <w:rsid w:val="00EB2DE6"/>
    <w:rsid w:val="00EB3101"/>
    <w:rsid w:val="00EB3226"/>
    <w:rsid w:val="00EB3564"/>
    <w:rsid w:val="00EB38F4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439"/>
    <w:rsid w:val="00EB65AC"/>
    <w:rsid w:val="00EB6BC8"/>
    <w:rsid w:val="00EB74D6"/>
    <w:rsid w:val="00EB7608"/>
    <w:rsid w:val="00EB760C"/>
    <w:rsid w:val="00EB763E"/>
    <w:rsid w:val="00EC07D1"/>
    <w:rsid w:val="00EC08F4"/>
    <w:rsid w:val="00EC0A69"/>
    <w:rsid w:val="00EC0D4A"/>
    <w:rsid w:val="00EC1898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8D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DE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0D7E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44E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EFE"/>
    <w:rsid w:val="00F101F5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A6A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27B05"/>
    <w:rsid w:val="00F301CC"/>
    <w:rsid w:val="00F303A1"/>
    <w:rsid w:val="00F304DF"/>
    <w:rsid w:val="00F30CFD"/>
    <w:rsid w:val="00F30F65"/>
    <w:rsid w:val="00F315CA"/>
    <w:rsid w:val="00F3196D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386"/>
    <w:rsid w:val="00F3465B"/>
    <w:rsid w:val="00F34A54"/>
    <w:rsid w:val="00F34EAC"/>
    <w:rsid w:val="00F3523F"/>
    <w:rsid w:val="00F353AE"/>
    <w:rsid w:val="00F35840"/>
    <w:rsid w:val="00F3585E"/>
    <w:rsid w:val="00F35D9B"/>
    <w:rsid w:val="00F35FDF"/>
    <w:rsid w:val="00F36055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629"/>
    <w:rsid w:val="00F62FAC"/>
    <w:rsid w:val="00F630AA"/>
    <w:rsid w:val="00F63538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82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2E3B"/>
    <w:rsid w:val="00FB312F"/>
    <w:rsid w:val="00FB35C3"/>
    <w:rsid w:val="00FB409D"/>
    <w:rsid w:val="00FB4272"/>
    <w:rsid w:val="00FB4AD4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3EBA"/>
    <w:rsid w:val="00FC42C3"/>
    <w:rsid w:val="00FC47DE"/>
    <w:rsid w:val="00FC48B4"/>
    <w:rsid w:val="00FC4A9E"/>
    <w:rsid w:val="00FC4DDB"/>
    <w:rsid w:val="00FC51A3"/>
    <w:rsid w:val="00FC52A5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FB4"/>
    <w:rsid w:val="00FD0F80"/>
    <w:rsid w:val="00FD1149"/>
    <w:rsid w:val="00FD19A1"/>
    <w:rsid w:val="00FD1EBC"/>
    <w:rsid w:val="00FD2043"/>
    <w:rsid w:val="00FD20F4"/>
    <w:rsid w:val="00FD245D"/>
    <w:rsid w:val="00FD2782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0FD"/>
    <w:rsid w:val="00FD49B4"/>
    <w:rsid w:val="00FD4B84"/>
    <w:rsid w:val="00FD5DDD"/>
    <w:rsid w:val="00FD5F8B"/>
    <w:rsid w:val="00FD61E3"/>
    <w:rsid w:val="00FD6751"/>
    <w:rsid w:val="00FD6D64"/>
    <w:rsid w:val="00FD701C"/>
    <w:rsid w:val="00FD76D9"/>
    <w:rsid w:val="00FD7858"/>
    <w:rsid w:val="00FD78CB"/>
    <w:rsid w:val="00FD7A25"/>
    <w:rsid w:val="00FD7DCF"/>
    <w:rsid w:val="00FD7F1A"/>
    <w:rsid w:val="00FE00DF"/>
    <w:rsid w:val="00FE01E9"/>
    <w:rsid w:val="00FE0888"/>
    <w:rsid w:val="00FE0AF7"/>
    <w:rsid w:val="00FE0E66"/>
    <w:rsid w:val="00FE1448"/>
    <w:rsid w:val="00FE1B15"/>
    <w:rsid w:val="00FE22B4"/>
    <w:rsid w:val="00FE22B8"/>
    <w:rsid w:val="00FE2E0A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4E27"/>
    <w:rsid w:val="00FE55DF"/>
    <w:rsid w:val="00FE5641"/>
    <w:rsid w:val="00FE5A58"/>
    <w:rsid w:val="00FE5CAA"/>
    <w:rsid w:val="00FE6915"/>
    <w:rsid w:val="00FE6E29"/>
    <w:rsid w:val="00FE72AE"/>
    <w:rsid w:val="00FE757A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2EF9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A493DB39-03B8-48F3-AD00-FE4752C1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0D084A"/>
    <w:pPr>
      <w:keepNext/>
      <w:keepLines/>
      <w:numPr>
        <w:numId w:val="7"/>
      </w:numPr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0D084A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A65CFF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A65CFF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7D6835"/>
    <w:pPr>
      <w:numPr>
        <w:numId w:val="8"/>
      </w:numPr>
      <w:spacing w:before="120" w:after="120"/>
    </w:pPr>
    <w:rPr>
      <w:color w:val="auto"/>
    </w:r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0D084A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D084A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link w:val="BodyChar"/>
    <w:qFormat/>
    <w:rsid w:val="0012576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60" w:after="120"/>
    </w:pPr>
    <w:rPr>
      <w:rFonts w:ascii="Arial" w:hAnsi="Arial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qFormat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125760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rsid w:val="00C42D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1720"/>
    <w:pPr>
      <w:spacing w:line="240" w:lineRule="auto"/>
    </w:pPr>
  </w:style>
  <w:style w:type="paragraph" w:customStyle="1" w:styleId="BodySectionSub">
    <w:name w:val="Body Section (Sub)"/>
    <w:next w:val="Normal"/>
    <w:link w:val="BodySectionSubChar"/>
    <w:rsid w:val="007B72D9"/>
    <w:pPr>
      <w:overflowPunct w:val="0"/>
      <w:autoSpaceDE w:val="0"/>
      <w:autoSpaceDN w:val="0"/>
      <w:adjustRightInd w:val="0"/>
      <w:spacing w:before="120" w:line="240" w:lineRule="auto"/>
      <w:ind w:left="1361"/>
      <w:textAlignment w:val="baseline"/>
    </w:pPr>
    <w:rPr>
      <w:rFonts w:ascii="Times New Roman" w:hAnsi="Times New Roman" w:cs="Times New Roman"/>
      <w:color w:val="auto"/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7B72D9"/>
    <w:rPr>
      <w:rFonts w:ascii="Times New Roman" w:hAnsi="Times New Roman"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s://www.vic.gov.au/public-sector-executive-remuneration" TargetMode="External"/><Relationship Id="rId26" Type="http://schemas.openxmlformats.org/officeDocument/2006/relationships/hyperlink" Target="https://www.fwc.gov.au/" TargetMode="External"/><Relationship Id="rId39" Type="http://schemas.openxmlformats.org/officeDocument/2006/relationships/hyperlink" Target="https://www.worksafe.vic.gov.au/resources/occupational-health-and-safety-boards" TargetMode="External"/><Relationship Id="rId21" Type="http://schemas.openxmlformats.org/officeDocument/2006/relationships/hyperlink" Target="https://www.fairwork.gov.au/employee-entitlements/national-employment-standards" TargetMode="External"/><Relationship Id="rId34" Type="http://schemas.openxmlformats.org/officeDocument/2006/relationships/hyperlink" Target="mailto:Irv.info@dpc.vic.gov.au" TargetMode="External"/><Relationship Id="rId42" Type="http://schemas.openxmlformats.org/officeDocument/2006/relationships/hyperlink" Target="https://www.humanrightscommission.vic.gov.au/discrimination/discrimination/types-of-discrimination" TargetMode="External"/><Relationship Id="rId47" Type="http://schemas.openxmlformats.org/officeDocument/2006/relationships/hyperlink" Target="http://employment.gov.au/" TargetMode="External"/><Relationship Id="rId50" Type="http://schemas.openxmlformats.org/officeDocument/2006/relationships/hyperlink" Target="https://www.ato.gov.au/Business/Single-Touch-Payroll/In-detail/Single-Touch-Payroll-employer-reporting-guidelines/?anchor=Microemployers1to4employees" TargetMode="External"/><Relationship Id="rId55" Type="http://schemas.openxmlformats.org/officeDocument/2006/relationships/footer" Target="foot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delwp.vic.gov.au/communities-and-regions/regions-and-locations" TargetMode="External"/><Relationship Id="rId20" Type="http://schemas.openxmlformats.org/officeDocument/2006/relationships/hyperlink" Target="https://www.fairwork.gov.au/employee-entitlements/national-employment-standards" TargetMode="External"/><Relationship Id="rId29" Type="http://schemas.openxmlformats.org/officeDocument/2006/relationships/hyperlink" Target="https://www.fairwork.gov.au/" TargetMode="External"/><Relationship Id="rId41" Type="http://schemas.openxmlformats.org/officeDocument/2006/relationships/hyperlink" Target="https://www.worksafe.vic.gov.au/" TargetMode="External"/><Relationship Id="rId54" Type="http://schemas.openxmlformats.org/officeDocument/2006/relationships/header" Target="header2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fwc.gov.au/" TargetMode="External"/><Relationship Id="rId32" Type="http://schemas.openxmlformats.org/officeDocument/2006/relationships/hyperlink" Target="https://www.vic.gov.au/sites/default/files/2019-05/IR_Public_Sector_Industrial_Relations_Policies_2015.pdf" TargetMode="External"/><Relationship Id="rId37" Type="http://schemas.openxmlformats.org/officeDocument/2006/relationships/hyperlink" Target="https://www.worksafe.vic.gov.au/resources/guide-occupational-health-and-safety-compliance-and-enforcement-framework" TargetMode="External"/><Relationship Id="rId40" Type="http://schemas.openxmlformats.org/officeDocument/2006/relationships/hyperlink" Target="https://www.worksafe.vic.gov.au/safety" TargetMode="External"/><Relationship Id="rId45" Type="http://schemas.openxmlformats.org/officeDocument/2006/relationships/hyperlink" Target="https://www.humanrightscommission.vic.gov.au/discrimination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resources/code-of-conduct-for-employees/" TargetMode="External"/><Relationship Id="rId23" Type="http://schemas.openxmlformats.org/officeDocument/2006/relationships/hyperlink" Target="https://www.fairwork.gov.au/Dictionary.aspx?TermID=2034" TargetMode="External"/><Relationship Id="rId28" Type="http://schemas.openxmlformats.org/officeDocument/2006/relationships/hyperlink" Target="http://www.fairwork.gov.au/Pages/default.aspx" TargetMode="External"/><Relationship Id="rId36" Type="http://schemas.openxmlformats.org/officeDocument/2006/relationships/hyperlink" Target="https://www.ato.gov.au/Business/Super-for-employers/" TargetMode="External"/><Relationship Id="rId49" Type="http://schemas.openxmlformats.org/officeDocument/2006/relationships/hyperlink" Target="https://www.ato.gov.au/Business/Single-Touch-Payroll/" TargetMode="External"/><Relationship Id="rId57" Type="http://schemas.openxmlformats.org/officeDocument/2006/relationships/header" Target="header3.xml"/><Relationship Id="rId61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vic.gov.au/victorian-independent-remuneration-tribunal" TargetMode="External"/><Relationship Id="rId31" Type="http://schemas.openxmlformats.org/officeDocument/2006/relationships/hyperlink" Target="https://www.fairwork.gov.au/employee-entitlements/national-employment-standards/fair-work-information-statement" TargetMode="External"/><Relationship Id="rId44" Type="http://schemas.openxmlformats.org/officeDocument/2006/relationships/hyperlink" Target="https://www.humanrightscommission.vic.gov.au/the-workplace" TargetMode="External"/><Relationship Id="rId52" Type="http://schemas.openxmlformats.org/officeDocument/2006/relationships/hyperlink" Target="https://www.worksafe.vic.gov.au/insurance" TargetMode="External"/><Relationship Id="rId60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vpsc.vic.gov.au/resources/code-of-conduct-for-employees/" TargetMode="External"/><Relationship Id="rId22" Type="http://schemas.openxmlformats.org/officeDocument/2006/relationships/hyperlink" Target="https://www.legislation.gov.au/Details/C2019C00270/Html/Volume_1" TargetMode="External"/><Relationship Id="rId27" Type="http://schemas.openxmlformats.org/officeDocument/2006/relationships/hyperlink" Target="https://www.fwc.gov.au/" TargetMode="External"/><Relationship Id="rId30" Type="http://schemas.openxmlformats.org/officeDocument/2006/relationships/hyperlink" Target="https://www.fairwork.gov.au/find-help-for/small-business/hiring-employees" TargetMode="External"/><Relationship Id="rId35" Type="http://schemas.openxmlformats.org/officeDocument/2006/relationships/hyperlink" Target="https://www.ato.gov.au/" TargetMode="External"/><Relationship Id="rId43" Type="http://schemas.openxmlformats.org/officeDocument/2006/relationships/hyperlink" Target="https://www.humanrightscommission.vic.gov.au/" TargetMode="External"/><Relationship Id="rId48" Type="http://schemas.openxmlformats.org/officeDocument/2006/relationships/hyperlink" Target="http://www.ato.gov.au/" TargetMode="External"/><Relationship Id="rId56" Type="http://schemas.openxmlformats.org/officeDocument/2006/relationships/footer" Target="footer2.xml"/><Relationship Id="rId8" Type="http://schemas.openxmlformats.org/officeDocument/2006/relationships/numbering" Target="numbering.xml"/><Relationship Id="rId51" Type="http://schemas.openxmlformats.org/officeDocument/2006/relationships/hyperlink" Target="https://www.sro.vic.gov.au/payroll-tax" TargetMode="Externa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vpsc.vic.gov.au/resources/victorian-public-entity-executive-resource-suite/" TargetMode="External"/><Relationship Id="rId25" Type="http://schemas.openxmlformats.org/officeDocument/2006/relationships/hyperlink" Target="mailto:irv.info@dpc.vic.gov.au" TargetMode="External"/><Relationship Id="rId33" Type="http://schemas.openxmlformats.org/officeDocument/2006/relationships/hyperlink" Target="https://www.vic.gov.au/sites/default/files/2019-05/IR_Public_Sector_Industrial_Relations_Policies_2015.pdf" TargetMode="External"/><Relationship Id="rId38" Type="http://schemas.openxmlformats.org/officeDocument/2006/relationships/hyperlink" Target="https://www.worksafe.vic.gov.au/resources/guide-occupational-health-and-safety-regulations-2017" TargetMode="External"/><Relationship Id="rId46" Type="http://schemas.openxmlformats.org/officeDocument/2006/relationships/hyperlink" Target="https://www.humanrightscommission.vic.gov.au/human-rights" TargetMode="External"/><Relationship Id="rId59" Type="http://schemas.openxmlformats.org/officeDocument/2006/relationships/hyperlink" Target="http://www.delwp.vic.gov.au/committe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DOCID589-1193700953-512</_dlc_DocId>
    <_dlc_DocIdUrl xmlns="a5f32de4-e402-4188-b034-e71ca7d22e54">
      <Url>https://delwpvicgovau.sharepoint.com/sites/ecm_589/_layouts/15/DocIdRedir.aspx?ID=DOCID589-1193700953-512</Url>
      <Description>DOCID589-1193700953-512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90B5-1D50-4A64-BAA9-8F2EC7C70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4E2E2-7E39-44C8-AA0A-EBCE816931F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8EDB55-D8E4-4936-94F9-E464853CF8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34340B-D0A6-4D85-8E73-CA49553EC0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FD7ACB-5407-4F03-AEE5-0E2C1EDE696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07A903D-C444-4B6D-B2D2-5F8BA72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13 - Employees</vt:lpstr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13 - Employees</dc:title>
  <dc:subject/>
  <dc:creator>Jen Bright (DELWP)</dc:creator>
  <cp:keywords/>
  <dc:description/>
  <cp:lastModifiedBy>Jen Bright (DELWP)</cp:lastModifiedBy>
  <cp:revision>13</cp:revision>
  <cp:lastPrinted>2019-12-16T07:07:00Z</cp:lastPrinted>
  <dcterms:created xsi:type="dcterms:W3CDTF">2019-12-16T03:01:00Z</dcterms:created>
  <dcterms:modified xsi:type="dcterms:W3CDTF">2019-12-18T03:32:00Z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a950e893-2a97-4327-9065-62a1f18c84fe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6;#Energy, Environment and Climate Change|94bee464-a01d-4057-aeaf-10b10373b617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</Properties>
</file>