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30"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818"/>
        <w:gridCol w:w="3133"/>
        <w:gridCol w:w="236"/>
        <w:gridCol w:w="235"/>
      </w:tblGrid>
      <w:tr w:rsidR="00DE62A6" w:rsidTr="00DE62A6">
        <w:tc>
          <w:tcPr>
            <w:tcW w:w="2518" w:type="dxa"/>
          </w:tcPr>
          <w:p w:rsidR="00DE62A6" w:rsidRDefault="00DE62A6" w:rsidP="007D354D">
            <w:r>
              <w:rPr>
                <w:bCs/>
                <w:noProof/>
                <w:color w:val="000000"/>
                <w:lang w:eastAsia="en-AU"/>
              </w:rPr>
              <w:drawing>
                <wp:inline distT="0" distB="0" distL="0" distR="0" wp14:anchorId="2B890A96" wp14:editId="4367D5D0">
                  <wp:extent cx="1224915" cy="12249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a:ln>
                            <a:noFill/>
                          </a:ln>
                        </pic:spPr>
                      </pic:pic>
                    </a:graphicData>
                  </a:graphic>
                </wp:inline>
              </w:drawing>
            </w:r>
            <w:r>
              <w:t xml:space="preserve"> </w:t>
            </w:r>
          </w:p>
        </w:tc>
        <w:tc>
          <w:tcPr>
            <w:tcW w:w="4819" w:type="dxa"/>
          </w:tcPr>
          <w:p w:rsidR="00DE62A6" w:rsidRDefault="00DE62A6" w:rsidP="007D354D">
            <w:pPr>
              <w:spacing w:before="0"/>
            </w:pPr>
          </w:p>
          <w:p w:rsidR="00DE62A6" w:rsidRDefault="00DE62A6" w:rsidP="007D354D">
            <w:pPr>
              <w:spacing w:before="0" w:after="160"/>
            </w:pPr>
          </w:p>
          <w:p w:rsidR="00DE62A6" w:rsidRPr="002C052E" w:rsidRDefault="00DE62A6" w:rsidP="007D354D">
            <w:pPr>
              <w:pStyle w:val="Title"/>
              <w:rPr>
                <w:rFonts w:asciiTheme="minorHAnsi" w:hAnsiTheme="minorHAnsi"/>
              </w:rPr>
            </w:pPr>
            <w:r w:rsidRPr="002C052E">
              <w:rPr>
                <w:rFonts w:asciiTheme="minorHAnsi" w:hAnsiTheme="minorHAnsi"/>
              </w:rPr>
              <w:t>Governance e-alert</w:t>
            </w:r>
          </w:p>
          <w:p w:rsidR="00DE62A6" w:rsidRDefault="00DE62A6" w:rsidP="00F143BF">
            <w:pPr>
              <w:spacing w:before="160"/>
            </w:pPr>
            <w:r w:rsidRPr="003D6CD6">
              <w:rPr>
                <w:color w:val="646464"/>
              </w:rPr>
              <w:t xml:space="preserve">No. 1 - </w:t>
            </w:r>
            <w:r>
              <w:rPr>
                <w:color w:val="646464"/>
              </w:rPr>
              <w:t>March</w:t>
            </w:r>
            <w:r w:rsidRPr="003D6CD6">
              <w:rPr>
                <w:color w:val="646464"/>
              </w:rPr>
              <w:t xml:space="preserve"> 2015</w:t>
            </w:r>
          </w:p>
        </w:tc>
        <w:tc>
          <w:tcPr>
            <w:tcW w:w="3133" w:type="dxa"/>
          </w:tcPr>
          <w:p w:rsidR="00DE62A6" w:rsidRDefault="00DE62A6" w:rsidP="00E00784">
            <w:pPr>
              <w:ind w:left="289"/>
            </w:pPr>
            <w:r>
              <w:rPr>
                <w:noProof/>
                <w:lang w:eastAsia="en-AU"/>
              </w:rPr>
              <w:drawing>
                <wp:inline distT="0" distB="0" distL="0" distR="0" wp14:anchorId="018264AF" wp14:editId="025D3212">
                  <wp:extent cx="1225296" cy="12252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 Fennessy (from Suzanne O) - Copy.jpg"/>
                          <pic:cNvPicPr/>
                        </pic:nvPicPr>
                        <pic:blipFill>
                          <a:blip r:embed="rId8">
                            <a:extLst>
                              <a:ext uri="{28A0092B-C50C-407E-A947-70E740481C1C}">
                                <a14:useLocalDpi xmlns:a14="http://schemas.microsoft.com/office/drawing/2010/main" val="0"/>
                              </a:ext>
                            </a:extLst>
                          </a:blip>
                          <a:stretch>
                            <a:fillRect/>
                          </a:stretch>
                        </pic:blipFill>
                        <pic:spPr>
                          <a:xfrm>
                            <a:off x="0" y="0"/>
                            <a:ext cx="1223609" cy="1223609"/>
                          </a:xfrm>
                          <a:prstGeom prst="rect">
                            <a:avLst/>
                          </a:prstGeom>
                        </pic:spPr>
                      </pic:pic>
                    </a:graphicData>
                  </a:graphic>
                </wp:inline>
              </w:drawing>
            </w:r>
          </w:p>
        </w:tc>
        <w:tc>
          <w:tcPr>
            <w:tcW w:w="236" w:type="dxa"/>
          </w:tcPr>
          <w:p w:rsidR="00DE62A6" w:rsidRDefault="00DE62A6" w:rsidP="007D354D">
            <w:pPr>
              <w:spacing w:before="0"/>
            </w:pPr>
          </w:p>
        </w:tc>
        <w:tc>
          <w:tcPr>
            <w:tcW w:w="235" w:type="dxa"/>
          </w:tcPr>
          <w:p w:rsidR="00DE62A6" w:rsidRDefault="00DE62A6" w:rsidP="007D354D">
            <w:pPr>
              <w:spacing w:before="0"/>
            </w:pPr>
          </w:p>
        </w:tc>
      </w:tr>
    </w:tbl>
    <w:p w:rsidR="00AD67B8" w:rsidRDefault="00AD67B8"/>
    <w:tbl>
      <w:tblPr>
        <w:tblStyle w:val="TableGrid"/>
        <w:tblW w:w="0" w:type="auto"/>
        <w:tblInd w:w="108" w:type="dxa"/>
        <w:tblBorders>
          <w:top w:val="none" w:sz="0" w:space="0" w:color="auto"/>
          <w:left w:val="none" w:sz="0" w:space="0" w:color="auto"/>
          <w:bottom w:val="single" w:sz="18" w:space="0" w:color="BFBFBF" w:themeColor="background1" w:themeShade="BF"/>
          <w:right w:val="none" w:sz="0" w:space="0" w:color="auto"/>
          <w:insideH w:val="single" w:sz="18" w:space="0" w:color="BFBFBF" w:themeColor="background1" w:themeShade="BF"/>
          <w:insideV w:val="none" w:sz="0" w:space="0" w:color="auto"/>
        </w:tblBorders>
        <w:tblCellMar>
          <w:bottom w:w="170" w:type="dxa"/>
        </w:tblCellMar>
        <w:tblLook w:val="04A0" w:firstRow="1" w:lastRow="0" w:firstColumn="1" w:lastColumn="0" w:noHBand="0" w:noVBand="1"/>
      </w:tblPr>
      <w:tblGrid>
        <w:gridCol w:w="1415"/>
        <w:gridCol w:w="9352"/>
      </w:tblGrid>
      <w:tr w:rsidR="00F1270F" w:rsidTr="00326FBE">
        <w:tc>
          <w:tcPr>
            <w:tcW w:w="1415" w:type="dxa"/>
            <w:tcBorders>
              <w:top w:val="nil"/>
              <w:bottom w:val="nil"/>
            </w:tcBorders>
          </w:tcPr>
          <w:p w:rsidR="00F1270F" w:rsidRDefault="00F1270F" w:rsidP="00706D46"/>
        </w:tc>
        <w:tc>
          <w:tcPr>
            <w:tcW w:w="9352" w:type="dxa"/>
            <w:tcBorders>
              <w:top w:val="nil"/>
              <w:bottom w:val="single" w:sz="12" w:space="0" w:color="BFBFBF" w:themeColor="background1" w:themeShade="BF"/>
            </w:tcBorders>
          </w:tcPr>
          <w:p w:rsidR="007758DD" w:rsidRDefault="007758DD" w:rsidP="007758DD">
            <w:r>
              <w:t>Welcome</w:t>
            </w:r>
          </w:p>
          <w:p w:rsidR="007758DD" w:rsidRDefault="007758DD" w:rsidP="007758DD">
            <w:r>
              <w:t>1.  About DELWP agencies</w:t>
            </w:r>
          </w:p>
          <w:p w:rsidR="007758DD" w:rsidRDefault="007758DD" w:rsidP="007758DD">
            <w:r>
              <w:t>2.  Conflict of Interest – Upda</w:t>
            </w:r>
            <w:bookmarkStart w:id="0" w:name="_GoBack"/>
            <w:bookmarkEnd w:id="0"/>
            <w:r>
              <w:t>te to DELWP model policy for boards of major agencies</w:t>
            </w:r>
          </w:p>
          <w:p w:rsidR="007758DD" w:rsidRDefault="007758DD" w:rsidP="007758DD">
            <w:r>
              <w:t>3.  Conflict of Interest – new DELWP model policy for small voluntary committees of management</w:t>
            </w:r>
          </w:p>
          <w:p w:rsidR="007758DD" w:rsidRDefault="007758DD" w:rsidP="007758DD">
            <w:r>
              <w:t>4.  Privacy – new DELWP privacy collection statement builder</w:t>
            </w:r>
          </w:p>
          <w:p w:rsidR="007758DD" w:rsidRDefault="00A57393" w:rsidP="007758DD">
            <w:r>
              <w:t>5</w:t>
            </w:r>
            <w:r w:rsidR="007758DD">
              <w:t>.  Annual reporting - Accounting policy update for ‘public bodies’</w:t>
            </w:r>
          </w:p>
          <w:p w:rsidR="00A57393" w:rsidRDefault="00A57393" w:rsidP="00A57393">
            <w:r>
              <w:t>6</w:t>
            </w:r>
            <w:r>
              <w:t>.  Financial management – new DELWP model policies and procedures for ‘public bodies’</w:t>
            </w:r>
          </w:p>
          <w:p w:rsidR="007758DD" w:rsidRDefault="007758DD" w:rsidP="007758DD">
            <w:r>
              <w:t>7.  Guidance materials and assistance from DELWP</w:t>
            </w:r>
          </w:p>
          <w:p w:rsidR="00F1270F" w:rsidRDefault="007758DD" w:rsidP="00706D46">
            <w:r>
              <w:t>8.  Other interested readers?</w:t>
            </w:r>
          </w:p>
        </w:tc>
      </w:tr>
      <w:tr w:rsidR="00D17C26" w:rsidTr="00326FBE">
        <w:tc>
          <w:tcPr>
            <w:tcW w:w="1415" w:type="dxa"/>
            <w:tcBorders>
              <w:top w:val="nil"/>
              <w:bottom w:val="nil"/>
            </w:tcBorders>
          </w:tcPr>
          <w:p w:rsidR="00D17C26" w:rsidRDefault="00AD67B8">
            <w:r>
              <w:rPr>
                <w:noProof/>
                <w:lang w:eastAsia="en-AU"/>
              </w:rPr>
              <w:drawing>
                <wp:inline distT="0" distB="0" distL="0" distR="0" wp14:anchorId="68B5E413" wp14:editId="24FB986D">
                  <wp:extent cx="704850" cy="704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_2_0B015B780B01590C001123AECA257D0A"/>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04850" cy="704850"/>
                          </a:xfrm>
                          <a:prstGeom prst="rect">
                            <a:avLst/>
                          </a:prstGeom>
                          <a:noFill/>
                          <a:ln>
                            <a:noFill/>
                          </a:ln>
                        </pic:spPr>
                      </pic:pic>
                    </a:graphicData>
                  </a:graphic>
                </wp:inline>
              </w:drawing>
            </w:r>
          </w:p>
        </w:tc>
        <w:tc>
          <w:tcPr>
            <w:tcW w:w="9352" w:type="dxa"/>
            <w:tcBorders>
              <w:top w:val="single" w:sz="12" w:space="0" w:color="BFBFBF" w:themeColor="background1" w:themeShade="BF"/>
              <w:bottom w:val="single" w:sz="12" w:space="0" w:color="BFBFBF" w:themeColor="background1" w:themeShade="BF"/>
            </w:tcBorders>
          </w:tcPr>
          <w:p w:rsidR="00AD67B8" w:rsidRPr="00780925" w:rsidRDefault="00AD67B8" w:rsidP="00AD67B8">
            <w:pPr>
              <w:pStyle w:val="Heading1"/>
              <w:outlineLvl w:val="0"/>
            </w:pPr>
            <w:bookmarkStart w:id="1" w:name="_Toc413318605"/>
            <w:bookmarkStart w:id="2" w:name="_Toc413418273"/>
            <w:r>
              <w:t>Welcome</w:t>
            </w:r>
            <w:bookmarkEnd w:id="1"/>
            <w:bookmarkEnd w:id="2"/>
          </w:p>
          <w:p w:rsidR="00AD67B8" w:rsidRDefault="00AD67B8" w:rsidP="00AD67B8">
            <w:r w:rsidRPr="00780925">
              <w:t>Welco</w:t>
            </w:r>
            <w:r>
              <w:t>me to the first edition of the Department of Environment, Land, Water and Planning</w:t>
            </w:r>
            <w:r w:rsidRPr="00780925">
              <w:t>'</w:t>
            </w:r>
            <w:r>
              <w:t>s (</w:t>
            </w:r>
            <w:r w:rsidRPr="00AD67B8">
              <w:rPr>
                <w:b/>
              </w:rPr>
              <w:t>DELWP's</w:t>
            </w:r>
            <w:r>
              <w:t xml:space="preserve">) governance e-alerts.  One of the important functions of the new department is the support and oversight of portfolio agencies on behalf of the responsible ministers.  Governance e-alerts offer board members, executives and staff of portfolio agencies information on key governance topics such as: </w:t>
            </w:r>
          </w:p>
          <w:p w:rsidR="00AD67B8" w:rsidRDefault="00AD67B8" w:rsidP="00AD67B8">
            <w:pPr>
              <w:pStyle w:val="ListBullet"/>
            </w:pPr>
            <w:r>
              <w:t xml:space="preserve">new laws and government policies </w:t>
            </w:r>
          </w:p>
          <w:p w:rsidR="00AD67B8" w:rsidRDefault="00AD67B8" w:rsidP="00AD67B8">
            <w:pPr>
              <w:pStyle w:val="ListBullet"/>
            </w:pPr>
            <w:r>
              <w:t xml:space="preserve">governance news </w:t>
            </w:r>
          </w:p>
          <w:p w:rsidR="00AD67B8" w:rsidRDefault="00AD67B8" w:rsidP="00AD67B8">
            <w:pPr>
              <w:pStyle w:val="ListBullet"/>
            </w:pPr>
            <w:r>
              <w:t xml:space="preserve">developments in governance best practice </w:t>
            </w:r>
          </w:p>
          <w:p w:rsidR="00AD67B8" w:rsidRDefault="00AD67B8" w:rsidP="00AD67B8">
            <w:pPr>
              <w:pStyle w:val="ListBullet"/>
            </w:pPr>
            <w:r>
              <w:t xml:space="preserve">updates to DELWP's governance website </w:t>
            </w:r>
            <w:hyperlink r:id="rId10" w:history="1">
              <w:r w:rsidRPr="009C6EDC">
                <w:rPr>
                  <w:rStyle w:val="Hyperlink"/>
                </w:rPr>
                <w:t>On Board</w:t>
              </w:r>
            </w:hyperlink>
            <w:r>
              <w:t xml:space="preserve"> (e.g. new model policies, guidance notes). </w:t>
            </w:r>
          </w:p>
          <w:p w:rsidR="00CB49F9" w:rsidRDefault="00AD67B8" w:rsidP="00822BBA">
            <w:r>
              <w:t xml:space="preserve">E-alerts are sent to the chairs, CEOs, and other nominated contacts of portfolio agencies, DELWP governance staff, and other interested readers who </w:t>
            </w:r>
            <w:hyperlink r:id="rId11" w:history="1">
              <w:r w:rsidR="00072505">
                <w:rPr>
                  <w:rStyle w:val="Hyperlink"/>
                </w:rPr>
                <w:t>subscribe</w:t>
              </w:r>
            </w:hyperlink>
            <w:r>
              <w:t>.</w:t>
            </w:r>
            <w:r w:rsidR="00F96993">
              <w:t xml:space="preserve">  </w:t>
            </w:r>
            <w:r w:rsidR="00822BBA">
              <w:t xml:space="preserve">They </w:t>
            </w:r>
            <w:r w:rsidR="004F2DFD">
              <w:t>are</w:t>
            </w:r>
            <w:r w:rsidR="00F92AD3">
              <w:t xml:space="preserve"> </w:t>
            </w:r>
            <w:r w:rsidR="00F96993">
              <w:t xml:space="preserve">issued </w:t>
            </w:r>
            <w:r w:rsidR="004409E5">
              <w:t>on an ‘as needs’ basis to advise of significant governance developments</w:t>
            </w:r>
            <w:r w:rsidR="004F2DFD">
              <w:t xml:space="preserve">.  </w:t>
            </w:r>
            <w:r w:rsidR="004409E5">
              <w:t xml:space="preserve">I anticipate </w:t>
            </w:r>
            <w:r w:rsidR="004F2DFD">
              <w:t xml:space="preserve">that </w:t>
            </w:r>
            <w:r w:rsidR="00F96993">
              <w:t xml:space="preserve">approximately six </w:t>
            </w:r>
            <w:r w:rsidR="004F2DFD">
              <w:t>e-alerts</w:t>
            </w:r>
            <w:r w:rsidR="00F96993">
              <w:t xml:space="preserve"> </w:t>
            </w:r>
            <w:r w:rsidR="004F2DFD">
              <w:t>will be issued this year</w:t>
            </w:r>
            <w:r w:rsidR="00F96993">
              <w:t xml:space="preserve">. </w:t>
            </w:r>
          </w:p>
        </w:tc>
      </w:tr>
      <w:tr w:rsidR="00D17C26" w:rsidTr="00326FBE">
        <w:tc>
          <w:tcPr>
            <w:tcW w:w="1415" w:type="dxa"/>
            <w:tcBorders>
              <w:top w:val="nil"/>
              <w:bottom w:val="nil"/>
            </w:tcBorders>
          </w:tcPr>
          <w:p w:rsidR="00D17C26" w:rsidRDefault="00F01DC7">
            <w:r>
              <w:rPr>
                <w:noProof/>
                <w:lang w:eastAsia="en-AU"/>
              </w:rPr>
              <w:drawing>
                <wp:inline distT="0" distB="0" distL="0" distR="0">
                  <wp:extent cx="701040" cy="701040"/>
                  <wp:effectExtent l="0" t="0" r="3810" b="3810"/>
                  <wp:docPr id="26" name="Picture 26" descr="\\internal.vic.gov.au\DEPI\HomeDirs1\DO20\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EPI\HomeDirs1\DO20\Desktop\Lea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929" cy="700929"/>
                          </a:xfrm>
                          <a:prstGeom prst="rect">
                            <a:avLst/>
                          </a:prstGeom>
                          <a:noFill/>
                          <a:ln>
                            <a:noFill/>
                          </a:ln>
                        </pic:spPr>
                      </pic:pic>
                    </a:graphicData>
                  </a:graphic>
                </wp:inline>
              </w:drawing>
            </w:r>
          </w:p>
        </w:tc>
        <w:tc>
          <w:tcPr>
            <w:tcW w:w="9352" w:type="dxa"/>
            <w:tcBorders>
              <w:top w:val="single" w:sz="12" w:space="0" w:color="BFBFBF" w:themeColor="background1" w:themeShade="BF"/>
              <w:bottom w:val="single" w:sz="12" w:space="0" w:color="BFBFBF" w:themeColor="background1" w:themeShade="BF"/>
            </w:tcBorders>
          </w:tcPr>
          <w:p w:rsidR="00AD67B8" w:rsidRDefault="00AD67B8" w:rsidP="00AD67B8">
            <w:pPr>
              <w:pStyle w:val="Heading1"/>
              <w:outlineLvl w:val="0"/>
            </w:pPr>
            <w:bookmarkStart w:id="3" w:name="_Toc413318606"/>
            <w:bookmarkStart w:id="4" w:name="_Toc413418274"/>
            <w:r>
              <w:t>1.  About DELWP agencies</w:t>
            </w:r>
            <w:bookmarkEnd w:id="3"/>
            <w:bookmarkEnd w:id="4"/>
          </w:p>
          <w:p w:rsidR="00AD67B8" w:rsidRDefault="00AD67B8" w:rsidP="00AD67B8">
            <w:pPr>
              <w:rPr>
                <w:lang w:val="en"/>
              </w:rPr>
            </w:pPr>
            <w:r w:rsidRPr="004C0E99">
              <w:t>The planning, land, water, environment and local government portfolios are of key strategic importance to Victoria's growth, liveability and sustainability.</w:t>
            </w:r>
            <w:r>
              <w:rPr>
                <w:rFonts w:ascii="Helv" w:hAnsi="Helv" w:cs="Helv"/>
                <w:color w:val="000000"/>
              </w:rPr>
              <w:t xml:space="preserve">  </w:t>
            </w:r>
            <w:r>
              <w:rPr>
                <w:lang w:val="en"/>
              </w:rPr>
              <w:t xml:space="preserve">The </w:t>
            </w:r>
            <w:r w:rsidRPr="00FD0EB6">
              <w:rPr>
                <w:lang w:val="en"/>
              </w:rPr>
              <w:t xml:space="preserve">DELWP </w:t>
            </w:r>
            <w:r>
              <w:rPr>
                <w:lang w:val="en"/>
              </w:rPr>
              <w:t xml:space="preserve">portfolio includes over 100 major agencies (e.g. large public entities) and 1,200 small committees of management of crown land reserves.  Depending on the purpose and functions set out in their establishing Act or terms of reference, DELWP agencies are responsible for managing, regulating and/or advising the Victorian government in relation to: </w:t>
            </w:r>
          </w:p>
          <w:p w:rsidR="00AD67B8" w:rsidRDefault="00AD67B8" w:rsidP="00AD67B8">
            <w:pPr>
              <w:pStyle w:val="ListBullet"/>
              <w:rPr>
                <w:lang w:val="en"/>
              </w:rPr>
            </w:pPr>
            <w:r w:rsidRPr="00F91EDF">
              <w:rPr>
                <w:b/>
                <w:lang w:val="en"/>
              </w:rPr>
              <w:t>environmental sustainability</w:t>
            </w:r>
            <w:r>
              <w:rPr>
                <w:lang w:val="en"/>
              </w:rPr>
              <w:t xml:space="preserve"> </w:t>
            </w:r>
            <w:r w:rsidR="00F91EDF">
              <w:rPr>
                <w:lang w:val="en"/>
              </w:rPr>
              <w:t xml:space="preserve">- </w:t>
            </w:r>
            <w:r>
              <w:rPr>
                <w:lang w:val="en"/>
              </w:rPr>
              <w:t>e.g. waste and resource recovery groups, Environment Protection Authority, Sustainability Victoria, Commissioner for Environmental Sus</w:t>
            </w:r>
            <w:r w:rsidR="00F91EDF">
              <w:rPr>
                <w:lang w:val="en"/>
              </w:rPr>
              <w:t>tainability, Trust for Nature</w:t>
            </w:r>
            <w:r w:rsidR="000C6AF0">
              <w:rPr>
                <w:lang w:val="en"/>
              </w:rPr>
              <w:t>;</w:t>
            </w:r>
          </w:p>
          <w:p w:rsidR="00AD67B8" w:rsidRDefault="00F91EDF" w:rsidP="00AD67B8">
            <w:pPr>
              <w:pStyle w:val="ListBullet"/>
              <w:rPr>
                <w:lang w:val="en"/>
              </w:rPr>
            </w:pPr>
            <w:r w:rsidRPr="00F91EDF">
              <w:rPr>
                <w:b/>
                <w:lang w:val="en"/>
              </w:rPr>
              <w:t>water</w:t>
            </w:r>
            <w:r>
              <w:rPr>
                <w:lang w:val="en"/>
              </w:rPr>
              <w:t xml:space="preserve"> - </w:t>
            </w:r>
            <w:r w:rsidR="00AD67B8">
              <w:rPr>
                <w:lang w:val="en"/>
              </w:rPr>
              <w:t xml:space="preserve">e.g. catchment management </w:t>
            </w:r>
            <w:r>
              <w:rPr>
                <w:lang w:val="en"/>
              </w:rPr>
              <w:t>authorities, water corporations</w:t>
            </w:r>
            <w:r w:rsidR="000C6AF0">
              <w:rPr>
                <w:lang w:val="en"/>
              </w:rPr>
              <w:t>;</w:t>
            </w:r>
            <w:r w:rsidR="00AD67B8">
              <w:rPr>
                <w:lang w:val="en"/>
              </w:rPr>
              <w:t xml:space="preserve"> </w:t>
            </w:r>
          </w:p>
          <w:p w:rsidR="00AD67B8" w:rsidRDefault="00F91EDF" w:rsidP="00AD67B8">
            <w:pPr>
              <w:pStyle w:val="ListBullet"/>
              <w:rPr>
                <w:lang w:val="en"/>
              </w:rPr>
            </w:pPr>
            <w:r w:rsidRPr="00F91EDF">
              <w:rPr>
                <w:b/>
                <w:lang w:val="en"/>
              </w:rPr>
              <w:t>public land</w:t>
            </w:r>
            <w:r>
              <w:rPr>
                <w:lang w:val="en"/>
              </w:rPr>
              <w:t xml:space="preserve"> - </w:t>
            </w:r>
            <w:r w:rsidR="00AD67B8">
              <w:rPr>
                <w:lang w:val="en"/>
              </w:rPr>
              <w:t xml:space="preserve">e.g. alpine resort management boards, regional coastal boards, traditional owner land management boards, committees of management of crown land reserves, Parks Victoria, Royal Botanic </w:t>
            </w:r>
            <w:r w:rsidR="00AD67B8">
              <w:rPr>
                <w:lang w:val="en"/>
              </w:rPr>
              <w:lastRenderedPageBreak/>
              <w:t>Gardens Board, Zoo</w:t>
            </w:r>
            <w:r w:rsidR="001C7A22">
              <w:rPr>
                <w:lang w:val="en"/>
              </w:rPr>
              <w:t>logical Parks and Gardens Board</w:t>
            </w:r>
            <w:r w:rsidR="000C6AF0">
              <w:rPr>
                <w:lang w:val="en"/>
              </w:rPr>
              <w:t>;</w:t>
            </w:r>
          </w:p>
          <w:p w:rsidR="00AD67B8" w:rsidRDefault="00AD67B8" w:rsidP="00AD67B8">
            <w:pPr>
              <w:pStyle w:val="ListBullet"/>
              <w:rPr>
                <w:lang w:val="en"/>
              </w:rPr>
            </w:pPr>
            <w:r w:rsidRPr="001C7A22">
              <w:rPr>
                <w:b/>
                <w:lang w:val="en"/>
              </w:rPr>
              <w:t>planning and building</w:t>
            </w:r>
            <w:r>
              <w:rPr>
                <w:lang w:val="en"/>
              </w:rPr>
              <w:t xml:space="preserve"> </w:t>
            </w:r>
            <w:r w:rsidR="001C7A22">
              <w:rPr>
                <w:lang w:val="en"/>
              </w:rPr>
              <w:t xml:space="preserve">- </w:t>
            </w:r>
            <w:r w:rsidRPr="00637AA4">
              <w:rPr>
                <w:lang w:val="en"/>
              </w:rPr>
              <w:t xml:space="preserve">e.g. Architects Registration Board of Victoria, </w:t>
            </w:r>
            <w:r>
              <w:rPr>
                <w:lang w:val="en"/>
              </w:rPr>
              <w:t>Victorian Building Authority</w:t>
            </w:r>
            <w:r w:rsidRPr="00637AA4">
              <w:rPr>
                <w:lang w:val="en"/>
              </w:rPr>
              <w:t xml:space="preserve">, </w:t>
            </w:r>
            <w:r w:rsidR="000C6AF0" w:rsidRPr="00637AA4">
              <w:rPr>
                <w:lang w:val="en"/>
              </w:rPr>
              <w:t>Heritage Council</w:t>
            </w:r>
            <w:r w:rsidR="000C6AF0">
              <w:rPr>
                <w:lang w:val="en"/>
              </w:rPr>
              <w:t xml:space="preserve">, </w:t>
            </w:r>
            <w:r w:rsidRPr="00637AA4">
              <w:rPr>
                <w:lang w:val="en"/>
              </w:rPr>
              <w:t xml:space="preserve">Growth Areas Authority </w:t>
            </w:r>
            <w:r w:rsidR="00DC33D6">
              <w:rPr>
                <w:lang w:val="en"/>
              </w:rPr>
              <w:t>(</w:t>
            </w:r>
            <w:r w:rsidRPr="00637AA4">
              <w:rPr>
                <w:lang w:val="en"/>
              </w:rPr>
              <w:t>trading as Metropolitan Planning Authority</w:t>
            </w:r>
            <w:r w:rsidR="00DC33D6">
              <w:rPr>
                <w:lang w:val="en"/>
              </w:rPr>
              <w:t>)</w:t>
            </w:r>
            <w:r>
              <w:rPr>
                <w:lang w:val="en"/>
              </w:rPr>
              <w:t xml:space="preserve">, </w:t>
            </w:r>
            <w:r w:rsidRPr="00637AA4">
              <w:rPr>
                <w:lang w:val="en"/>
              </w:rPr>
              <w:t xml:space="preserve">Urban Renewal Authority </w:t>
            </w:r>
            <w:r w:rsidR="00DC33D6">
              <w:rPr>
                <w:lang w:val="en"/>
              </w:rPr>
              <w:t>(</w:t>
            </w:r>
            <w:r w:rsidRPr="00637AA4">
              <w:rPr>
                <w:lang w:val="en"/>
              </w:rPr>
              <w:t>trading as Pla</w:t>
            </w:r>
            <w:r>
              <w:rPr>
                <w:lang w:val="en"/>
              </w:rPr>
              <w:t>ces</w:t>
            </w:r>
            <w:r w:rsidRPr="00637AA4">
              <w:rPr>
                <w:lang w:val="en"/>
              </w:rPr>
              <w:t xml:space="preserve"> Victoria)</w:t>
            </w:r>
            <w:r w:rsidR="000C6AF0">
              <w:rPr>
                <w:lang w:val="en"/>
              </w:rPr>
              <w:t>; and</w:t>
            </w:r>
          </w:p>
          <w:p w:rsidR="00D17C26" w:rsidRDefault="001C7A22" w:rsidP="00AD67B8">
            <w:pPr>
              <w:pStyle w:val="ListBullet"/>
            </w:pPr>
            <w:r w:rsidRPr="001C7A22">
              <w:rPr>
                <w:b/>
                <w:lang w:val="en"/>
              </w:rPr>
              <w:t>local infrastructure</w:t>
            </w:r>
            <w:r>
              <w:rPr>
                <w:lang w:val="en"/>
              </w:rPr>
              <w:t xml:space="preserve"> - </w:t>
            </w:r>
            <w:r w:rsidR="00AD67B8">
              <w:rPr>
                <w:lang w:val="en"/>
              </w:rPr>
              <w:t xml:space="preserve">e.g. </w:t>
            </w:r>
            <w:r w:rsidR="00AD67B8" w:rsidRPr="00637AA4">
              <w:rPr>
                <w:lang w:val="en"/>
              </w:rPr>
              <w:t xml:space="preserve">Geographic Place Names Advisory </w:t>
            </w:r>
            <w:r w:rsidR="00AD67B8">
              <w:rPr>
                <w:lang w:val="en"/>
              </w:rPr>
              <w:t xml:space="preserve">Panel, </w:t>
            </w:r>
            <w:r w:rsidR="00634B6F">
              <w:rPr>
                <w:lang w:val="en"/>
              </w:rPr>
              <w:t>Surveyors</w:t>
            </w:r>
            <w:r w:rsidR="00AD67B8" w:rsidRPr="00637AA4">
              <w:rPr>
                <w:lang w:val="en"/>
              </w:rPr>
              <w:t xml:space="preserve"> Registration Board of Victoria</w:t>
            </w:r>
            <w:r>
              <w:rPr>
                <w:lang w:val="en"/>
              </w:rPr>
              <w:t>, Victorian Grants Commission</w:t>
            </w:r>
            <w:r w:rsidR="00AD67B8">
              <w:rPr>
                <w:lang w:val="en"/>
              </w:rPr>
              <w:t>.</w:t>
            </w:r>
          </w:p>
        </w:tc>
      </w:tr>
      <w:tr w:rsidR="00D17C26" w:rsidTr="00326FBE">
        <w:tc>
          <w:tcPr>
            <w:tcW w:w="1415" w:type="dxa"/>
            <w:tcBorders>
              <w:top w:val="nil"/>
              <w:bottom w:val="nil"/>
            </w:tcBorders>
          </w:tcPr>
          <w:p w:rsidR="00D17C26" w:rsidRDefault="00F01DC7">
            <w:r>
              <w:rPr>
                <w:noProof/>
                <w:lang w:eastAsia="en-AU"/>
              </w:rPr>
              <w:lastRenderedPageBreak/>
              <w:drawing>
                <wp:inline distT="0" distB="0" distL="0" distR="0" wp14:anchorId="7F30FE5E" wp14:editId="159B6472">
                  <wp:extent cx="701040" cy="701040"/>
                  <wp:effectExtent l="0" t="0" r="3810" b="3810"/>
                  <wp:docPr id="27" name="Picture 27" descr="\\internal.vic.gov.au\DEPI\HomeDirs1\DO20\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EPI\HomeDirs1\DO20\Desktop\Lea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929" cy="700929"/>
                          </a:xfrm>
                          <a:prstGeom prst="rect">
                            <a:avLst/>
                          </a:prstGeom>
                          <a:noFill/>
                          <a:ln>
                            <a:noFill/>
                          </a:ln>
                        </pic:spPr>
                      </pic:pic>
                    </a:graphicData>
                  </a:graphic>
                </wp:inline>
              </w:drawing>
            </w:r>
          </w:p>
        </w:tc>
        <w:tc>
          <w:tcPr>
            <w:tcW w:w="9352" w:type="dxa"/>
            <w:tcBorders>
              <w:top w:val="single" w:sz="12" w:space="0" w:color="BFBFBF" w:themeColor="background1" w:themeShade="BF"/>
              <w:bottom w:val="single" w:sz="12" w:space="0" w:color="BFBFBF" w:themeColor="background1" w:themeShade="BF"/>
            </w:tcBorders>
          </w:tcPr>
          <w:p w:rsidR="007C7BB9" w:rsidRDefault="007C7BB9" w:rsidP="00F862D5">
            <w:pPr>
              <w:pStyle w:val="Heading1"/>
              <w:ind w:left="320" w:hanging="320"/>
              <w:outlineLvl w:val="0"/>
            </w:pPr>
            <w:bookmarkStart w:id="5" w:name="_Toc413318607"/>
            <w:bookmarkStart w:id="6" w:name="_Toc413418275"/>
            <w:r>
              <w:t xml:space="preserve">2.  </w:t>
            </w:r>
            <w:r w:rsidRPr="0024102D">
              <w:t>Conflict of Interest</w:t>
            </w:r>
            <w:r>
              <w:t xml:space="preserve"> </w:t>
            </w:r>
            <w:r w:rsidR="00F862D5">
              <w:t>–</w:t>
            </w:r>
            <w:r>
              <w:t xml:space="preserve"> </w:t>
            </w:r>
            <w:r w:rsidR="00870E11">
              <w:t>U</w:t>
            </w:r>
            <w:r>
              <w:t xml:space="preserve">pdate to </w:t>
            </w:r>
            <w:r w:rsidR="00F862D5">
              <w:t xml:space="preserve">DELWP </w:t>
            </w:r>
            <w:r>
              <w:t xml:space="preserve">model policy for </w:t>
            </w:r>
            <w:r w:rsidR="00870E11">
              <w:t xml:space="preserve">boards of </w:t>
            </w:r>
            <w:r>
              <w:t>major agencies</w:t>
            </w:r>
            <w:bookmarkEnd w:id="5"/>
            <w:bookmarkEnd w:id="6"/>
          </w:p>
          <w:p w:rsidR="007C7BB9" w:rsidRDefault="007C7BB9" w:rsidP="007C7BB9">
            <w:r>
              <w:t xml:space="preserve">DELWP has issued an update to </w:t>
            </w:r>
            <w:r w:rsidR="00F13B6C">
              <w:t>its</w:t>
            </w:r>
            <w:r>
              <w:t xml:space="preserve"> </w:t>
            </w:r>
            <w:r w:rsidRPr="007159A6">
              <w:rPr>
                <w:i/>
              </w:rPr>
              <w:t>Conflict of Interest</w:t>
            </w:r>
            <w:r>
              <w:t xml:space="preserve"> model policy for </w:t>
            </w:r>
            <w:r w:rsidR="00AF74DD">
              <w:t xml:space="preserve">boards of </w:t>
            </w:r>
            <w:r>
              <w:t xml:space="preserve">major DELWP agencies.  The update has been developed in consultation with the Victorian Public Sector Commission.  New features include: </w:t>
            </w:r>
          </w:p>
          <w:p w:rsidR="007C7BB9" w:rsidRDefault="007C7BB9" w:rsidP="007C7BB9">
            <w:pPr>
              <w:pStyle w:val="ListBullet"/>
            </w:pPr>
            <w:r>
              <w:t xml:space="preserve">increasing the distinction between managing a </w:t>
            </w:r>
            <w:r w:rsidRPr="006C19C6">
              <w:rPr>
                <w:b/>
              </w:rPr>
              <w:t>material</w:t>
            </w:r>
            <w:r>
              <w:t xml:space="preserve"> conflict of interest and a </w:t>
            </w:r>
            <w:r w:rsidRPr="006C19C6">
              <w:rPr>
                <w:b/>
              </w:rPr>
              <w:t>non-material</w:t>
            </w:r>
            <w:r>
              <w:t xml:space="preserve"> (less serious) conflict of interest;</w:t>
            </w:r>
          </w:p>
          <w:p w:rsidR="007C7BB9" w:rsidRDefault="007C7BB9" w:rsidP="007C7BB9">
            <w:pPr>
              <w:pStyle w:val="ListBullet"/>
            </w:pPr>
            <w:r>
              <w:t>recommending that board</w:t>
            </w:r>
            <w:r w:rsidR="00C64723">
              <w:t>s</w:t>
            </w:r>
            <w:r>
              <w:t xml:space="preserve"> maintain a </w:t>
            </w:r>
            <w:r w:rsidRPr="00812D4D">
              <w:rPr>
                <w:i/>
              </w:rPr>
              <w:t>Register of Interests</w:t>
            </w:r>
            <w:r>
              <w:t xml:space="preserve"> which records </w:t>
            </w:r>
            <w:r w:rsidR="00C64723">
              <w:t xml:space="preserve">their </w:t>
            </w:r>
            <w:r>
              <w:t>board members’ interests (direct and indirect) that may give rise to a conflict of interest;</w:t>
            </w:r>
          </w:p>
          <w:p w:rsidR="007C7BB9" w:rsidRDefault="007C7BB9" w:rsidP="007C7BB9">
            <w:pPr>
              <w:pStyle w:val="ListBullet"/>
            </w:pPr>
            <w:r>
              <w:t xml:space="preserve">recommending that board members confirm at the start of each meeting that their entries in the </w:t>
            </w:r>
            <w:r w:rsidRPr="00812D4D">
              <w:rPr>
                <w:i/>
              </w:rPr>
              <w:t>Register of Interests</w:t>
            </w:r>
            <w:r>
              <w:t xml:space="preserve"> are complete and correct.  (Board members will still need to declare any conflict of interest with any item on the meeting agenda); and</w:t>
            </w:r>
          </w:p>
          <w:p w:rsidR="007C7BB9" w:rsidRDefault="007C7BB9" w:rsidP="007C7BB9">
            <w:pPr>
              <w:pStyle w:val="ListBullet"/>
            </w:pPr>
            <w:r>
              <w:t xml:space="preserve">a simplified annual </w:t>
            </w:r>
            <w:r w:rsidRPr="00812D4D">
              <w:rPr>
                <w:i/>
              </w:rPr>
              <w:t>Declaration of Private Interests</w:t>
            </w:r>
            <w:r>
              <w:t xml:space="preserve"> form (available shortly from </w:t>
            </w:r>
            <w:hyperlink r:id="rId13" w:history="1">
              <w:r w:rsidRPr="00BA5F10">
                <w:rPr>
                  <w:rStyle w:val="Hyperlink"/>
                </w:rPr>
                <w:t>On Board</w:t>
              </w:r>
            </w:hyperlink>
            <w:r w:rsidR="006734F5">
              <w:rPr>
                <w:rStyle w:val="Hyperlink"/>
              </w:rPr>
              <w:t>)</w:t>
            </w:r>
            <w:r>
              <w:t>.</w:t>
            </w:r>
          </w:p>
          <w:p w:rsidR="00D17C26" w:rsidRDefault="007C7BB9" w:rsidP="006B40D1">
            <w:r>
              <w:t xml:space="preserve">The updated policy is attached.  It can also be downloaded from the </w:t>
            </w:r>
            <w:hyperlink r:id="rId14" w:history="1">
              <w:r w:rsidRPr="009E0D1D">
                <w:rPr>
                  <w:rStyle w:val="Hyperlink"/>
                </w:rPr>
                <w:t>Conflict of Interest</w:t>
              </w:r>
            </w:hyperlink>
            <w:r>
              <w:t xml:space="preserve"> support module on </w:t>
            </w:r>
            <w:proofErr w:type="spellStart"/>
            <w:r>
              <w:t>On</w:t>
            </w:r>
            <w:proofErr w:type="spellEnd"/>
            <w:r>
              <w:t xml:space="preserve"> Board</w:t>
            </w:r>
            <w:r w:rsidR="006B40D1">
              <w:t>, which</w:t>
            </w:r>
            <w:r w:rsidR="00A315D2">
              <w:t xml:space="preserve"> contains a range of resources on this topic.</w:t>
            </w:r>
          </w:p>
        </w:tc>
      </w:tr>
      <w:tr w:rsidR="00D17C26" w:rsidTr="00326FBE">
        <w:tc>
          <w:tcPr>
            <w:tcW w:w="1415" w:type="dxa"/>
            <w:tcBorders>
              <w:top w:val="nil"/>
              <w:bottom w:val="nil"/>
            </w:tcBorders>
          </w:tcPr>
          <w:p w:rsidR="00D17C26" w:rsidRDefault="00F01DC7">
            <w:r>
              <w:rPr>
                <w:noProof/>
                <w:lang w:eastAsia="en-AU"/>
              </w:rPr>
              <w:drawing>
                <wp:inline distT="0" distB="0" distL="0" distR="0" wp14:anchorId="7F30FE5E" wp14:editId="159B6472">
                  <wp:extent cx="701040" cy="701040"/>
                  <wp:effectExtent l="0" t="0" r="3810" b="3810"/>
                  <wp:docPr id="28" name="Picture 28" descr="\\internal.vic.gov.au\DEPI\HomeDirs1\DO20\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EPI\HomeDirs1\DO20\Desktop\Lea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929" cy="700929"/>
                          </a:xfrm>
                          <a:prstGeom prst="rect">
                            <a:avLst/>
                          </a:prstGeom>
                          <a:noFill/>
                          <a:ln>
                            <a:noFill/>
                          </a:ln>
                        </pic:spPr>
                      </pic:pic>
                    </a:graphicData>
                  </a:graphic>
                </wp:inline>
              </w:drawing>
            </w:r>
          </w:p>
        </w:tc>
        <w:tc>
          <w:tcPr>
            <w:tcW w:w="9352" w:type="dxa"/>
            <w:tcBorders>
              <w:top w:val="single" w:sz="12" w:space="0" w:color="BFBFBF" w:themeColor="background1" w:themeShade="BF"/>
              <w:bottom w:val="single" w:sz="12" w:space="0" w:color="BFBFBF" w:themeColor="background1" w:themeShade="BF"/>
            </w:tcBorders>
          </w:tcPr>
          <w:p w:rsidR="007C7BB9" w:rsidRDefault="007C7BB9" w:rsidP="007C7BB9">
            <w:pPr>
              <w:pStyle w:val="Heading1"/>
              <w:ind w:left="320" w:hanging="320"/>
              <w:outlineLvl w:val="0"/>
            </w:pPr>
            <w:bookmarkStart w:id="7" w:name="_Toc413418276"/>
            <w:r>
              <w:t xml:space="preserve">3.  </w:t>
            </w:r>
            <w:r w:rsidRPr="0024102D">
              <w:t>Conflict of Interest</w:t>
            </w:r>
            <w:r>
              <w:t xml:space="preserve"> – </w:t>
            </w:r>
            <w:r w:rsidR="00F862D5">
              <w:t>new DELWP m</w:t>
            </w:r>
            <w:r>
              <w:t>odel policy for small voluntary committees of management</w:t>
            </w:r>
            <w:bookmarkEnd w:id="7"/>
          </w:p>
          <w:p w:rsidR="00D17C26" w:rsidRDefault="007C7BB9" w:rsidP="00607180">
            <w:r>
              <w:t xml:space="preserve">DELWP has </w:t>
            </w:r>
            <w:r w:rsidR="00607180">
              <w:t xml:space="preserve">also </w:t>
            </w:r>
            <w:r>
              <w:t xml:space="preserve">released a model policy on </w:t>
            </w:r>
            <w:r w:rsidRPr="001465A7">
              <w:rPr>
                <w:i/>
              </w:rPr>
              <w:t>Conflict of Interest</w:t>
            </w:r>
            <w:r>
              <w:t xml:space="preserve"> for small voluntary (‘category 3’) committees of management of crown land reserves.  </w:t>
            </w:r>
            <w:r w:rsidR="0006589D">
              <w:t>The attached model policy</w:t>
            </w:r>
            <w:r>
              <w:t xml:space="preserve"> is </w:t>
            </w:r>
            <w:r w:rsidR="0006589D">
              <w:t xml:space="preserve">also </w:t>
            </w:r>
            <w:r>
              <w:t xml:space="preserve">available from </w:t>
            </w:r>
            <w:hyperlink r:id="rId15" w:history="1">
              <w:r w:rsidRPr="004C0E99">
                <w:rPr>
                  <w:rStyle w:val="Hyperlink"/>
                </w:rPr>
                <w:t>Information committees of management</w:t>
              </w:r>
            </w:hyperlink>
            <w:r w:rsidRPr="007C7BB9">
              <w:rPr>
                <w:rFonts w:ascii="Arial" w:hAnsi="Arial"/>
                <w:color w:val="000000"/>
              </w:rPr>
              <w:t xml:space="preserve"> </w:t>
            </w:r>
            <w:r w:rsidR="0006589D">
              <w:rPr>
                <w:color w:val="000000"/>
              </w:rPr>
              <w:t>and</w:t>
            </w:r>
            <w:r w:rsidR="00A21102">
              <w:rPr>
                <w:color w:val="000000"/>
              </w:rPr>
              <w:t xml:space="preserve"> the </w:t>
            </w:r>
            <w:hyperlink r:id="rId16" w:history="1">
              <w:r w:rsidR="00A21102" w:rsidRPr="009E0D1D">
                <w:rPr>
                  <w:rStyle w:val="Hyperlink"/>
                </w:rPr>
                <w:t>Conflict of Interest</w:t>
              </w:r>
            </w:hyperlink>
            <w:r w:rsidR="00A21102">
              <w:t xml:space="preserve"> support module on </w:t>
            </w:r>
            <w:proofErr w:type="spellStart"/>
            <w:r w:rsidR="00A21102">
              <w:t>On</w:t>
            </w:r>
            <w:proofErr w:type="spellEnd"/>
            <w:r w:rsidR="00A21102">
              <w:t xml:space="preserve"> Board</w:t>
            </w:r>
            <w:r w:rsidR="0006589D">
              <w:t>.  A</w:t>
            </w:r>
            <w:r w:rsidR="00A21102">
              <w:t xml:space="preserve">lternatively, </w:t>
            </w:r>
            <w:r>
              <w:rPr>
                <w:color w:val="000000"/>
              </w:rPr>
              <w:t>con</w:t>
            </w:r>
            <w:r w:rsidR="00A21102">
              <w:rPr>
                <w:color w:val="000000"/>
              </w:rPr>
              <w:t>tact your local regional office</w:t>
            </w:r>
            <w:r>
              <w:rPr>
                <w:color w:val="000000"/>
              </w:rPr>
              <w:t>.</w:t>
            </w:r>
          </w:p>
        </w:tc>
      </w:tr>
      <w:tr w:rsidR="004B51FF" w:rsidTr="00326FBE">
        <w:tc>
          <w:tcPr>
            <w:tcW w:w="1415" w:type="dxa"/>
            <w:tcBorders>
              <w:top w:val="nil"/>
              <w:bottom w:val="nil"/>
            </w:tcBorders>
          </w:tcPr>
          <w:p w:rsidR="004B51FF" w:rsidRDefault="00F01DC7">
            <w:pPr>
              <w:rPr>
                <w:noProof/>
              </w:rPr>
            </w:pPr>
            <w:r>
              <w:rPr>
                <w:noProof/>
                <w:lang w:eastAsia="en-AU"/>
              </w:rPr>
              <w:drawing>
                <wp:inline distT="0" distB="0" distL="0" distR="0" wp14:anchorId="7F30FE5E" wp14:editId="159B6472">
                  <wp:extent cx="701040" cy="701040"/>
                  <wp:effectExtent l="0" t="0" r="3810" b="3810"/>
                  <wp:docPr id="29" name="Picture 29" descr="\\internal.vic.gov.au\DEPI\HomeDirs1\DO20\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EPI\HomeDirs1\DO20\Desktop\Lea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929" cy="700929"/>
                          </a:xfrm>
                          <a:prstGeom prst="rect">
                            <a:avLst/>
                          </a:prstGeom>
                          <a:noFill/>
                          <a:ln>
                            <a:noFill/>
                          </a:ln>
                        </pic:spPr>
                      </pic:pic>
                    </a:graphicData>
                  </a:graphic>
                </wp:inline>
              </w:drawing>
            </w:r>
          </w:p>
        </w:tc>
        <w:tc>
          <w:tcPr>
            <w:tcW w:w="9352" w:type="dxa"/>
            <w:tcBorders>
              <w:top w:val="single" w:sz="12" w:space="0" w:color="BFBFBF" w:themeColor="background1" w:themeShade="BF"/>
              <w:bottom w:val="single" w:sz="12" w:space="0" w:color="BFBFBF" w:themeColor="background1" w:themeShade="BF"/>
            </w:tcBorders>
          </w:tcPr>
          <w:p w:rsidR="004B51FF" w:rsidRDefault="004B51FF" w:rsidP="004B51FF">
            <w:pPr>
              <w:pStyle w:val="Heading1"/>
              <w:outlineLvl w:val="0"/>
            </w:pPr>
            <w:bookmarkStart w:id="8" w:name="_Toc413318609"/>
            <w:bookmarkStart w:id="9" w:name="_Toc413418277"/>
            <w:r>
              <w:t>4</w:t>
            </w:r>
            <w:r w:rsidRPr="00DB3D8F">
              <w:t xml:space="preserve">.  </w:t>
            </w:r>
            <w:r w:rsidRPr="0024102D">
              <w:t>Privacy</w:t>
            </w:r>
            <w:r>
              <w:t xml:space="preserve"> – </w:t>
            </w:r>
            <w:r w:rsidR="00947861">
              <w:t xml:space="preserve">new </w:t>
            </w:r>
            <w:r>
              <w:t>DELWP privacy collection statement builder</w:t>
            </w:r>
            <w:bookmarkEnd w:id="8"/>
            <w:bookmarkEnd w:id="9"/>
            <w:r>
              <w:t xml:space="preserve"> </w:t>
            </w:r>
          </w:p>
          <w:p w:rsidR="004B51FF" w:rsidRDefault="004B51FF" w:rsidP="004B51FF">
            <w:r>
              <w:t xml:space="preserve">The </w:t>
            </w:r>
            <w:r w:rsidRPr="00EC25C6">
              <w:rPr>
                <w:i/>
              </w:rPr>
              <w:t>Privacy Protection and Data Act 2014</w:t>
            </w:r>
            <w:r>
              <w:t xml:space="preserve"> has replaced the </w:t>
            </w:r>
            <w:r w:rsidRPr="00DB3D8F">
              <w:rPr>
                <w:i/>
              </w:rPr>
              <w:t>Information Privacy Act 2000</w:t>
            </w:r>
            <w:r>
              <w:rPr>
                <w:i/>
                <w:iCs/>
              </w:rPr>
              <w:t xml:space="preserve">.  </w:t>
            </w:r>
            <w:r>
              <w:t xml:space="preserve">If your agency collects personally identifying information it should update its </w:t>
            </w:r>
            <w:r w:rsidRPr="00762894">
              <w:rPr>
                <w:i/>
              </w:rPr>
              <w:t>Privacy Collection Statement</w:t>
            </w:r>
            <w:r>
              <w:t xml:space="preserve"> or prepare one.  To assist, DELWP has developed a </w:t>
            </w:r>
            <w:r w:rsidRPr="00762894">
              <w:rPr>
                <w:b/>
              </w:rPr>
              <w:t>Privacy Collection Statement Builder</w:t>
            </w:r>
            <w:r>
              <w:t xml:space="preserve"> (attached), which your agency can use in the preparation of a compliant </w:t>
            </w:r>
            <w:r w:rsidRPr="00762894">
              <w:rPr>
                <w:i/>
              </w:rPr>
              <w:t>Privacy Collection Statement</w:t>
            </w:r>
            <w:r>
              <w:t>.</w:t>
            </w:r>
          </w:p>
          <w:p w:rsidR="00DC7AB1" w:rsidRDefault="004B51FF" w:rsidP="004B51FF">
            <w:r w:rsidRPr="00AB0349">
              <w:rPr>
                <w:rStyle w:val="Heading3Char"/>
              </w:rPr>
              <w:t>Background information:</w:t>
            </w:r>
            <w:r w:rsidRPr="00AB0349">
              <w:t xml:space="preserve"> The new Act enables the Commissioner, David Watts, to establish a single privacy and data protection framework with security standards to be developed and applied to most public sector agencies, including most DELWP agencies.  The new Act maintains the ten ‘Information Privacy Principles’ </w:t>
            </w:r>
            <w:r>
              <w:t>in</w:t>
            </w:r>
            <w:r w:rsidRPr="00AB0349">
              <w:t xml:space="preserve"> the previous Act.  It also allows for government departments and </w:t>
            </w:r>
            <w:r>
              <w:t xml:space="preserve">portfolio </w:t>
            </w:r>
            <w:r w:rsidRPr="00AB0349">
              <w:t>agencies to ask the Commissioner for a Public Interest Determination (</w:t>
            </w:r>
            <w:r w:rsidRPr="00CF5C16">
              <w:rPr>
                <w:b/>
              </w:rPr>
              <w:t>PID</w:t>
            </w:r>
            <w:r w:rsidRPr="00AB0349">
              <w:t xml:space="preserve">).  A PID provides approval to depart from certain information privacy principles, for a specific purpose and limited time frame, if the Commissioner is satisfied it is in the public interest to do so.  The new Act </w:t>
            </w:r>
            <w:r>
              <w:t>does not alter</w:t>
            </w:r>
            <w:r w:rsidRPr="00AB0349">
              <w:t xml:space="preserve"> </w:t>
            </w:r>
            <w:r>
              <w:t xml:space="preserve">any </w:t>
            </w:r>
            <w:r w:rsidRPr="00AB0349">
              <w:t xml:space="preserve">secrecy or confidentiality provisions in already operating acts – e.g. the </w:t>
            </w:r>
            <w:r w:rsidRPr="0090619F">
              <w:rPr>
                <w:i/>
              </w:rPr>
              <w:t>Health Records Act 2001</w:t>
            </w:r>
            <w:r w:rsidRPr="00AB0349">
              <w:t xml:space="preserve"> remains unchanged and continues to regulate personal health information in Victoria.</w:t>
            </w:r>
          </w:p>
        </w:tc>
      </w:tr>
      <w:tr w:rsidR="00D17C26" w:rsidTr="00326FBE">
        <w:tc>
          <w:tcPr>
            <w:tcW w:w="1415" w:type="dxa"/>
            <w:tcBorders>
              <w:top w:val="nil"/>
              <w:bottom w:val="nil"/>
            </w:tcBorders>
          </w:tcPr>
          <w:p w:rsidR="00D17C26" w:rsidRDefault="00F01DC7">
            <w:r>
              <w:rPr>
                <w:noProof/>
                <w:lang w:eastAsia="en-AU"/>
              </w:rPr>
              <w:lastRenderedPageBreak/>
              <w:drawing>
                <wp:inline distT="0" distB="0" distL="0" distR="0" wp14:anchorId="0CA2CF23" wp14:editId="5CF12650">
                  <wp:extent cx="701040" cy="701040"/>
                  <wp:effectExtent l="0" t="0" r="3810" b="3810"/>
                  <wp:docPr id="30" name="Picture 30" descr="\\internal.vic.gov.au\DEPI\HomeDirs1\DO20\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EPI\HomeDirs1\DO20\Desktop\Lea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929" cy="700929"/>
                          </a:xfrm>
                          <a:prstGeom prst="rect">
                            <a:avLst/>
                          </a:prstGeom>
                          <a:noFill/>
                          <a:ln>
                            <a:noFill/>
                          </a:ln>
                        </pic:spPr>
                      </pic:pic>
                    </a:graphicData>
                  </a:graphic>
                </wp:inline>
              </w:drawing>
            </w:r>
          </w:p>
        </w:tc>
        <w:tc>
          <w:tcPr>
            <w:tcW w:w="9352" w:type="dxa"/>
            <w:tcBorders>
              <w:top w:val="single" w:sz="12" w:space="0" w:color="BFBFBF" w:themeColor="background1" w:themeShade="BF"/>
              <w:bottom w:val="single" w:sz="12" w:space="0" w:color="BFBFBF" w:themeColor="background1" w:themeShade="BF"/>
            </w:tcBorders>
          </w:tcPr>
          <w:p w:rsidR="00A57393" w:rsidRPr="00A85193" w:rsidRDefault="00A57393" w:rsidP="00A57393">
            <w:pPr>
              <w:pStyle w:val="Heading1"/>
              <w:outlineLvl w:val="0"/>
            </w:pPr>
            <w:bookmarkStart w:id="10" w:name="_Toc413418278"/>
            <w:r>
              <w:t>5</w:t>
            </w:r>
            <w:r w:rsidRPr="00A85193">
              <w:t xml:space="preserve">.  </w:t>
            </w:r>
            <w:r w:rsidRPr="0024102D">
              <w:t>Annual reporting</w:t>
            </w:r>
            <w:r>
              <w:t xml:space="preserve"> - A</w:t>
            </w:r>
            <w:r w:rsidRPr="00A85193">
              <w:t xml:space="preserve">ccounting </w:t>
            </w:r>
            <w:r>
              <w:t>policy u</w:t>
            </w:r>
            <w:r w:rsidRPr="00A85193">
              <w:t>pdate for ‘public bodies’</w:t>
            </w:r>
          </w:p>
          <w:p w:rsidR="00A57393" w:rsidRPr="00A85193" w:rsidRDefault="00A57393" w:rsidP="00A57393">
            <w:r w:rsidRPr="00A85193">
              <w:t xml:space="preserve">The Department of Treasury and Finance </w:t>
            </w:r>
            <w:r>
              <w:t>(</w:t>
            </w:r>
            <w:r w:rsidRPr="009D47CC">
              <w:rPr>
                <w:b/>
              </w:rPr>
              <w:t>DTF</w:t>
            </w:r>
            <w:r>
              <w:t xml:space="preserve">) recently </w:t>
            </w:r>
            <w:r w:rsidRPr="00A85193">
              <w:t xml:space="preserve">issued </w:t>
            </w:r>
            <w:r>
              <w:t>an</w:t>
            </w:r>
            <w:r w:rsidRPr="00A85193">
              <w:t xml:space="preserve"> </w:t>
            </w:r>
            <w:hyperlink r:id="rId17" w:history="1">
              <w:r w:rsidRPr="00A05AB8">
                <w:rPr>
                  <w:rStyle w:val="Hyperlink"/>
                </w:rPr>
                <w:t>Accounting policy update</w:t>
              </w:r>
            </w:hyperlink>
            <w:r w:rsidRPr="00A85193">
              <w:t xml:space="preserve"> </w:t>
            </w:r>
            <w:r>
              <w:t>newsletter (January 2015) that is us</w:t>
            </w:r>
            <w:r w:rsidRPr="00A85193">
              <w:t>eful reading for</w:t>
            </w:r>
            <w:r>
              <w:t xml:space="preserve"> those DELWP agencies that are</w:t>
            </w:r>
            <w:r w:rsidRPr="00A85193">
              <w:t xml:space="preserve"> </w:t>
            </w:r>
            <w:r>
              <w:t xml:space="preserve">‘public bodies’ </w:t>
            </w:r>
            <w:r w:rsidRPr="00A85193">
              <w:t xml:space="preserve">under the </w:t>
            </w:r>
            <w:r w:rsidRPr="00A85193">
              <w:rPr>
                <w:i/>
              </w:rPr>
              <w:t xml:space="preserve">Financial Management Act </w:t>
            </w:r>
            <w:r>
              <w:t>(</w:t>
            </w:r>
            <w:r w:rsidRPr="009D47CC">
              <w:rPr>
                <w:b/>
              </w:rPr>
              <w:t>FMA</w:t>
            </w:r>
            <w:r>
              <w:t>) – i.e. submit an annual report which is tabled or reported in Parliament under that Act.  The newsletter provides information in relation to:</w:t>
            </w:r>
            <w:r w:rsidRPr="00A85193">
              <w:t xml:space="preserve"> </w:t>
            </w:r>
          </w:p>
          <w:p w:rsidR="00A57393" w:rsidRPr="00A85193" w:rsidRDefault="00A57393" w:rsidP="00A57393">
            <w:pPr>
              <w:pStyle w:val="ListBullet"/>
            </w:pPr>
            <w:r w:rsidRPr="00A85193">
              <w:t xml:space="preserve">the new ‘consolidated suite’ of accounting standards for the 2014-15 financial year; and </w:t>
            </w:r>
          </w:p>
          <w:p w:rsidR="00A57393" w:rsidRDefault="00A57393" w:rsidP="00A57393">
            <w:pPr>
              <w:pStyle w:val="ListBullet"/>
            </w:pPr>
            <w:r w:rsidRPr="00A85193">
              <w:t xml:space="preserve">proposed key changes to </w:t>
            </w:r>
            <w:r>
              <w:t>DTF’s</w:t>
            </w:r>
            <w:r w:rsidRPr="00A85193">
              <w:t xml:space="preserve"> </w:t>
            </w:r>
            <w:r w:rsidRPr="00A85193">
              <w:rPr>
                <w:i/>
              </w:rPr>
              <w:t>Model Report</w:t>
            </w:r>
            <w:r w:rsidRPr="00A85193">
              <w:t xml:space="preserve">. </w:t>
            </w:r>
            <w:r>
              <w:t xml:space="preserve"> </w:t>
            </w:r>
            <w:r w:rsidRPr="00A85193">
              <w:t>(</w:t>
            </w:r>
            <w:r>
              <w:t xml:space="preserve">The model report is not mandatory for portfolio agencies.  However it represents best practice.  </w:t>
            </w:r>
            <w:r w:rsidRPr="00A85193">
              <w:t xml:space="preserve">DELWP agencies </w:t>
            </w:r>
            <w:r>
              <w:t>which are subject to the FMA are expected to use the model report as their principle guide to preparing an annual report</w:t>
            </w:r>
            <w:r w:rsidRPr="00A85193">
              <w:t xml:space="preserve">).  </w:t>
            </w:r>
          </w:p>
          <w:p w:rsidR="00D17C26" w:rsidRDefault="00A57393">
            <w:r>
              <w:t xml:space="preserve">A further source of information to assist with the preparation of annual reports under the FMA is DELWP’s </w:t>
            </w:r>
            <w:r w:rsidRPr="000515B1">
              <w:rPr>
                <w:i/>
              </w:rPr>
              <w:t>Guide to annual reporting – public bodie</w:t>
            </w:r>
            <w:r>
              <w:rPr>
                <w:i/>
              </w:rPr>
              <w:t>s</w:t>
            </w:r>
            <w:r>
              <w:t xml:space="preserve">.  I shall advise you when this publication is available from </w:t>
            </w:r>
            <w:hyperlink r:id="rId18" w:history="1">
              <w:r w:rsidRPr="009C6EDC">
                <w:rPr>
                  <w:rStyle w:val="Hyperlink"/>
                </w:rPr>
                <w:t>On Board</w:t>
              </w:r>
            </w:hyperlink>
            <w:r>
              <w:t xml:space="preserve"> for the 2014-15 reporting year.</w:t>
            </w:r>
            <w:bookmarkEnd w:id="10"/>
          </w:p>
        </w:tc>
      </w:tr>
      <w:tr w:rsidR="00D17C26" w:rsidTr="00326FBE">
        <w:tc>
          <w:tcPr>
            <w:tcW w:w="1415" w:type="dxa"/>
            <w:tcBorders>
              <w:top w:val="nil"/>
              <w:bottom w:val="nil"/>
            </w:tcBorders>
          </w:tcPr>
          <w:p w:rsidR="00D17C26" w:rsidRDefault="00F01DC7">
            <w:r>
              <w:rPr>
                <w:noProof/>
                <w:lang w:eastAsia="en-AU"/>
              </w:rPr>
              <w:drawing>
                <wp:inline distT="0" distB="0" distL="0" distR="0" wp14:anchorId="256FEE9A" wp14:editId="52214EA7">
                  <wp:extent cx="701040" cy="701040"/>
                  <wp:effectExtent l="0" t="0" r="3810" b="3810"/>
                  <wp:docPr id="31" name="Picture 31" descr="\\internal.vic.gov.au\DEPI\HomeDirs1\DO20\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EPI\HomeDirs1\DO20\Desktop\Lea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929" cy="700929"/>
                          </a:xfrm>
                          <a:prstGeom prst="rect">
                            <a:avLst/>
                          </a:prstGeom>
                          <a:noFill/>
                          <a:ln>
                            <a:noFill/>
                          </a:ln>
                        </pic:spPr>
                      </pic:pic>
                    </a:graphicData>
                  </a:graphic>
                </wp:inline>
              </w:drawing>
            </w:r>
          </w:p>
        </w:tc>
        <w:tc>
          <w:tcPr>
            <w:tcW w:w="9352" w:type="dxa"/>
            <w:tcBorders>
              <w:top w:val="single" w:sz="12" w:space="0" w:color="BFBFBF" w:themeColor="background1" w:themeShade="BF"/>
              <w:bottom w:val="single" w:sz="12" w:space="0" w:color="BFBFBF" w:themeColor="background1" w:themeShade="BF"/>
            </w:tcBorders>
          </w:tcPr>
          <w:p w:rsidR="00A57393" w:rsidRDefault="00A57393" w:rsidP="00A57393">
            <w:pPr>
              <w:pStyle w:val="Heading1"/>
              <w:ind w:left="320" w:hanging="320"/>
              <w:outlineLvl w:val="0"/>
            </w:pPr>
            <w:r>
              <w:t>6</w:t>
            </w:r>
            <w:r>
              <w:t xml:space="preserve">.  Financial management – new DELWP </w:t>
            </w:r>
            <w:r>
              <w:rPr>
                <w:lang w:val="en"/>
              </w:rPr>
              <w:t>model policies and p</w:t>
            </w:r>
            <w:r w:rsidRPr="00EF7420">
              <w:rPr>
                <w:lang w:val="en"/>
              </w:rPr>
              <w:t>rocedures</w:t>
            </w:r>
            <w:r>
              <w:rPr>
                <w:lang w:val="en"/>
              </w:rPr>
              <w:t xml:space="preserve"> for ‘public bodies’ </w:t>
            </w:r>
          </w:p>
          <w:p w:rsidR="00A57393" w:rsidRDefault="00A57393" w:rsidP="00A57393">
            <w:pPr>
              <w:rPr>
                <w:lang w:val="en"/>
              </w:rPr>
            </w:pPr>
            <w:r w:rsidRPr="00C200C0">
              <w:rPr>
                <w:i/>
              </w:rPr>
              <w:t>Model Financial Policies and Procedures</w:t>
            </w:r>
            <w:r w:rsidRPr="00841026">
              <w:rPr>
                <w:b/>
              </w:rPr>
              <w:t xml:space="preserve"> </w:t>
            </w:r>
            <w:r>
              <w:t>have been developed</w:t>
            </w:r>
            <w:r w:rsidRPr="00453855">
              <w:rPr>
                <w:lang w:val="en"/>
              </w:rPr>
              <w:t xml:space="preserve"> to </w:t>
            </w:r>
            <w:r>
              <w:rPr>
                <w:lang w:val="en"/>
              </w:rPr>
              <w:t xml:space="preserve">assist DELWP agencies that are ‘public bodies’ under the </w:t>
            </w:r>
            <w:r w:rsidRPr="003D3365">
              <w:rPr>
                <w:i/>
                <w:lang w:val="en"/>
              </w:rPr>
              <w:t>Financial Management Act</w:t>
            </w:r>
            <w:r>
              <w:rPr>
                <w:lang w:val="en"/>
              </w:rPr>
              <w:t xml:space="preserve"> (</w:t>
            </w:r>
            <w:r w:rsidRPr="00C200C0">
              <w:rPr>
                <w:b/>
                <w:lang w:val="en"/>
              </w:rPr>
              <w:t>FMA</w:t>
            </w:r>
            <w:r>
              <w:rPr>
                <w:lang w:val="en"/>
              </w:rPr>
              <w:t xml:space="preserve">).  These resources assist agencies to </w:t>
            </w:r>
            <w:r w:rsidRPr="00453855">
              <w:rPr>
                <w:lang w:val="en"/>
              </w:rPr>
              <w:t xml:space="preserve">establish and maintain effective financial </w:t>
            </w:r>
            <w:r>
              <w:rPr>
                <w:lang w:val="en"/>
              </w:rPr>
              <w:t>policies and procedures</w:t>
            </w:r>
            <w:r w:rsidRPr="00453855">
              <w:rPr>
                <w:lang w:val="en"/>
              </w:rPr>
              <w:t xml:space="preserve"> </w:t>
            </w:r>
            <w:r>
              <w:rPr>
                <w:lang w:val="en"/>
              </w:rPr>
              <w:t>that comply</w:t>
            </w:r>
            <w:r w:rsidRPr="00453855">
              <w:rPr>
                <w:lang w:val="en"/>
              </w:rPr>
              <w:t xml:space="preserve"> with the </w:t>
            </w:r>
            <w:r w:rsidRPr="00F703F7">
              <w:rPr>
                <w:lang w:val="en"/>
              </w:rPr>
              <w:t>Standing Directions</w:t>
            </w:r>
            <w:r>
              <w:rPr>
                <w:lang w:val="en"/>
              </w:rPr>
              <w:t xml:space="preserve"> issued under section 8 of the Act. </w:t>
            </w:r>
          </w:p>
          <w:p w:rsidR="00A57393" w:rsidRDefault="00A57393" w:rsidP="00A57393">
            <w:pPr>
              <w:rPr>
                <w:lang w:val="en"/>
              </w:rPr>
            </w:pPr>
            <w:r>
              <w:rPr>
                <w:lang w:val="en"/>
              </w:rPr>
              <w:t xml:space="preserve">Your agency will need to </w:t>
            </w:r>
            <w:r w:rsidRPr="00C200C0">
              <w:rPr>
                <w:lang w:val="en"/>
              </w:rPr>
              <w:t>adapt</w:t>
            </w:r>
            <w:r>
              <w:rPr>
                <w:lang w:val="en"/>
              </w:rPr>
              <w:t xml:space="preserve"> the resources in the attached </w:t>
            </w:r>
            <w:r w:rsidRPr="00914413">
              <w:rPr>
                <w:i/>
                <w:lang w:val="en"/>
              </w:rPr>
              <w:t>Model</w:t>
            </w:r>
            <w:r w:rsidRPr="00EF7420">
              <w:rPr>
                <w:lang w:val="en"/>
              </w:rPr>
              <w:t xml:space="preserve"> </w:t>
            </w:r>
            <w:r w:rsidRPr="00C200C0">
              <w:rPr>
                <w:i/>
                <w:lang w:val="en"/>
              </w:rPr>
              <w:t>Financial Policies and Procedures</w:t>
            </w:r>
            <w:r>
              <w:rPr>
                <w:lang w:val="en"/>
              </w:rPr>
              <w:t xml:space="preserve"> to take into account the nature and structure of the agency.  These resources include: </w:t>
            </w:r>
          </w:p>
          <w:p w:rsidR="00A57393" w:rsidRDefault="00A57393" w:rsidP="00A57393">
            <w:pPr>
              <w:pStyle w:val="ListBullet"/>
              <w:rPr>
                <w:lang w:val="en"/>
              </w:rPr>
            </w:pPr>
            <w:r>
              <w:rPr>
                <w:b/>
                <w:lang w:val="en"/>
              </w:rPr>
              <w:t>g</w:t>
            </w:r>
            <w:r w:rsidRPr="00841026">
              <w:rPr>
                <w:b/>
                <w:lang w:val="en"/>
              </w:rPr>
              <w:t>uidelines</w:t>
            </w:r>
            <w:r>
              <w:rPr>
                <w:lang w:val="en"/>
              </w:rPr>
              <w:t xml:space="preserve"> on financial management related activities </w:t>
            </w:r>
            <w:r w:rsidRPr="00453855">
              <w:rPr>
                <w:lang w:val="en"/>
              </w:rPr>
              <w:t xml:space="preserve">(e.g. </w:t>
            </w:r>
            <w:r>
              <w:rPr>
                <w:lang w:val="en"/>
              </w:rPr>
              <w:t>managing outsourced financial services, disaster recovery, etc.</w:t>
            </w:r>
            <w:r w:rsidRPr="00453855">
              <w:rPr>
                <w:lang w:val="en"/>
              </w:rPr>
              <w:t>)</w:t>
            </w:r>
          </w:p>
          <w:p w:rsidR="00A57393" w:rsidRPr="00FD489B" w:rsidRDefault="00A57393" w:rsidP="00A57393">
            <w:pPr>
              <w:pStyle w:val="ListBullet"/>
              <w:rPr>
                <w:lang w:val="en" w:eastAsia="en-AU"/>
              </w:rPr>
            </w:pPr>
            <w:r>
              <w:rPr>
                <w:b/>
                <w:lang w:val="en" w:eastAsia="en-AU"/>
              </w:rPr>
              <w:t>c</w:t>
            </w:r>
            <w:r w:rsidRPr="00841026">
              <w:rPr>
                <w:b/>
                <w:lang w:val="en" w:eastAsia="en-AU"/>
              </w:rPr>
              <w:t>ompliance checklists</w:t>
            </w:r>
            <w:r>
              <w:rPr>
                <w:lang w:val="en" w:eastAsia="en-AU"/>
              </w:rPr>
              <w:t xml:space="preserve"> to assist</w:t>
            </w:r>
            <w:r w:rsidRPr="00AC307F">
              <w:rPr>
                <w:lang w:val="en" w:eastAsia="en-AU"/>
              </w:rPr>
              <w:t xml:space="preserve"> </w:t>
            </w:r>
            <w:r>
              <w:rPr>
                <w:lang w:val="en" w:eastAsia="en-AU"/>
              </w:rPr>
              <w:t>your agency</w:t>
            </w:r>
            <w:r w:rsidRPr="00AC307F">
              <w:rPr>
                <w:lang w:val="en" w:eastAsia="en-AU"/>
              </w:rPr>
              <w:t xml:space="preserve"> to </w:t>
            </w:r>
            <w:r>
              <w:rPr>
                <w:lang w:val="en" w:eastAsia="en-AU"/>
              </w:rPr>
              <w:t xml:space="preserve">self-assess and to </w:t>
            </w:r>
            <w:r w:rsidRPr="00AC307F">
              <w:rPr>
                <w:lang w:val="en" w:eastAsia="en-AU"/>
              </w:rPr>
              <w:t xml:space="preserve">certify </w:t>
            </w:r>
            <w:r>
              <w:rPr>
                <w:lang w:val="en" w:eastAsia="en-AU"/>
              </w:rPr>
              <w:t>compliance</w:t>
            </w:r>
            <w:r w:rsidRPr="00AC307F">
              <w:rPr>
                <w:lang w:val="en" w:eastAsia="en-AU"/>
              </w:rPr>
              <w:t xml:space="preserve"> with </w:t>
            </w:r>
            <w:r>
              <w:rPr>
                <w:lang w:val="en" w:eastAsia="en-AU"/>
              </w:rPr>
              <w:t>the</w:t>
            </w:r>
            <w:r w:rsidRPr="00AC307F">
              <w:rPr>
                <w:lang w:val="en" w:eastAsia="en-AU"/>
              </w:rPr>
              <w:t xml:space="preserve"> </w:t>
            </w:r>
            <w:r>
              <w:rPr>
                <w:lang w:val="en" w:eastAsia="en-AU"/>
              </w:rPr>
              <w:t xml:space="preserve">Standing Directions.  The </w:t>
            </w:r>
            <w:r>
              <w:rPr>
                <w:lang w:val="en"/>
              </w:rPr>
              <w:t>checklists will guide your agency through the c</w:t>
            </w:r>
            <w:r w:rsidRPr="00AC307F">
              <w:rPr>
                <w:lang w:val="en" w:eastAsia="en-AU"/>
              </w:rPr>
              <w:t>ompliance certification process</w:t>
            </w:r>
            <w:r>
              <w:rPr>
                <w:lang w:val="en"/>
              </w:rPr>
              <w:t xml:space="preserve">.  </w:t>
            </w:r>
          </w:p>
          <w:p w:rsidR="00A57393" w:rsidRPr="005D7F48" w:rsidRDefault="00A57393" w:rsidP="00A57393">
            <w:pPr>
              <w:pStyle w:val="ListBullet"/>
              <w:rPr>
                <w:lang w:val="en" w:eastAsia="en-AU"/>
              </w:rPr>
            </w:pPr>
            <w:r w:rsidRPr="00841026">
              <w:rPr>
                <w:b/>
                <w:lang w:val="en" w:eastAsia="en-AU"/>
              </w:rPr>
              <w:t>forms</w:t>
            </w:r>
            <w:r>
              <w:rPr>
                <w:lang w:val="en" w:eastAsia="en-AU"/>
              </w:rPr>
              <w:t xml:space="preserve"> that will assist your agency to comply with the Standing Directions.  </w:t>
            </w:r>
          </w:p>
          <w:p w:rsidR="00A57393" w:rsidRDefault="00A57393" w:rsidP="00A57393">
            <w:pPr>
              <w:pStyle w:val="ListBullet"/>
              <w:rPr>
                <w:lang w:val="en"/>
              </w:rPr>
            </w:pPr>
            <w:r w:rsidRPr="00841026">
              <w:rPr>
                <w:b/>
                <w:lang w:val="en"/>
              </w:rPr>
              <w:t>useful links</w:t>
            </w:r>
            <w:r>
              <w:rPr>
                <w:lang w:val="en"/>
              </w:rPr>
              <w:t xml:space="preserve"> to the topic on other websites (e.g. Department of Treasury and Finance).</w:t>
            </w:r>
          </w:p>
          <w:p w:rsidR="00A57393" w:rsidRPr="0009553A" w:rsidRDefault="00A57393" w:rsidP="00A57393">
            <w:pPr>
              <w:rPr>
                <w:rFonts w:eastAsiaTheme="majorEastAsia"/>
              </w:rPr>
            </w:pPr>
            <w:r>
              <w:rPr>
                <w:lang w:val="en"/>
              </w:rPr>
              <w:t xml:space="preserve">A Financial Management support module is also being developed and will be available on </w:t>
            </w:r>
            <w:hyperlink r:id="rId19" w:history="1">
              <w:r w:rsidRPr="009C6EDC">
                <w:rPr>
                  <w:rStyle w:val="Hyperlink"/>
                </w:rPr>
                <w:t>On Board</w:t>
              </w:r>
            </w:hyperlink>
            <w:r>
              <w:rPr>
                <w:color w:val="0000FF"/>
                <w:u w:val="single"/>
              </w:rPr>
              <w:t xml:space="preserve"> </w:t>
            </w:r>
            <w:r w:rsidRPr="00E8185B">
              <w:rPr>
                <w:bCs/>
                <w:lang w:val="en"/>
              </w:rPr>
              <w:t>shortly.</w:t>
            </w:r>
          </w:p>
          <w:p w:rsidR="00A57393" w:rsidRPr="00DA74E5" w:rsidRDefault="00A57393" w:rsidP="00A57393">
            <w:r w:rsidRPr="003D3365">
              <w:rPr>
                <w:rStyle w:val="Heading3Char"/>
              </w:rPr>
              <w:t>Background information:</w:t>
            </w:r>
            <w:r>
              <w:t xml:space="preserve">  Most major DELWP agencies are subject to the FMA.  They must submit an </w:t>
            </w:r>
            <w:r w:rsidRPr="00DA74E5">
              <w:t>annual report that</w:t>
            </w:r>
            <w:r>
              <w:t xml:space="preserve"> is tabled or reported in Parliament (see the </w:t>
            </w:r>
            <w:hyperlink r:id="rId20" w:history="1">
              <w:r w:rsidRPr="000054C7">
                <w:rPr>
                  <w:rStyle w:val="Hyperlink"/>
                </w:rPr>
                <w:t>annual reporting</w:t>
              </w:r>
            </w:hyperlink>
            <w:r w:rsidRPr="000054C7">
              <w:t xml:space="preserve"> </w:t>
            </w:r>
            <w:r>
              <w:t xml:space="preserve">support module) and must comply with a range of financial management obligations in accordance with </w:t>
            </w:r>
            <w:r w:rsidRPr="00DA74E5">
              <w:t xml:space="preserve">the </w:t>
            </w:r>
            <w:r>
              <w:t xml:space="preserve">binding </w:t>
            </w:r>
            <w:r w:rsidRPr="00DA74E5">
              <w:t>Standing Directions</w:t>
            </w:r>
            <w:r>
              <w:t xml:space="preserve"> issued by the Minister for Finance. </w:t>
            </w:r>
            <w:r>
              <w:rPr>
                <w:lang w:val="en"/>
              </w:rPr>
              <w:t>The Department of Treasury and Finance also publishes a binding Financial Management Compliance Framework on behalf of the Minister for Finance.</w:t>
            </w:r>
          </w:p>
          <w:p w:rsidR="00D17C26" w:rsidRDefault="00A57393" w:rsidP="00A57393">
            <w:r>
              <w:t xml:space="preserve">Being a </w:t>
            </w:r>
            <w:r w:rsidRPr="005F5F38">
              <w:rPr>
                <w:b/>
              </w:rPr>
              <w:t>public body</w:t>
            </w:r>
            <w:r>
              <w:t xml:space="preserve"> under the FMA is different to being a </w:t>
            </w:r>
            <w:r w:rsidRPr="00394659">
              <w:rPr>
                <w:b/>
              </w:rPr>
              <w:t>public entity</w:t>
            </w:r>
            <w:r>
              <w:t xml:space="preserve"> under the </w:t>
            </w:r>
            <w:r w:rsidRPr="00853474">
              <w:rPr>
                <w:i/>
              </w:rPr>
              <w:t>Public Administration Act</w:t>
            </w:r>
            <w:r>
              <w:t>.  However, most major DELWP agencies are both.</w:t>
            </w:r>
          </w:p>
        </w:tc>
      </w:tr>
      <w:tr w:rsidR="00D17C26" w:rsidTr="00326FBE">
        <w:tc>
          <w:tcPr>
            <w:tcW w:w="1415" w:type="dxa"/>
            <w:tcBorders>
              <w:top w:val="nil"/>
              <w:bottom w:val="nil"/>
            </w:tcBorders>
          </w:tcPr>
          <w:p w:rsidR="00D17C26" w:rsidRDefault="005C71E6">
            <w:r>
              <w:rPr>
                <w:noProof/>
                <w:lang w:eastAsia="en-AU"/>
              </w:rPr>
              <w:drawing>
                <wp:inline distT="0" distB="0" distL="0" distR="0">
                  <wp:extent cx="700327" cy="700327"/>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EPI\HomeDirs1\DO20\Desktop\Docklands.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700327" cy="700327"/>
                          </a:xfrm>
                          <a:prstGeom prst="rect">
                            <a:avLst/>
                          </a:prstGeom>
                          <a:noFill/>
                          <a:ln>
                            <a:noFill/>
                          </a:ln>
                        </pic:spPr>
                      </pic:pic>
                    </a:graphicData>
                  </a:graphic>
                </wp:inline>
              </w:drawing>
            </w:r>
          </w:p>
        </w:tc>
        <w:tc>
          <w:tcPr>
            <w:tcW w:w="9352" w:type="dxa"/>
            <w:tcBorders>
              <w:top w:val="single" w:sz="12" w:space="0" w:color="BFBFBF" w:themeColor="background1" w:themeShade="BF"/>
              <w:bottom w:val="single" w:sz="12" w:space="0" w:color="BFBFBF" w:themeColor="background1" w:themeShade="BF"/>
            </w:tcBorders>
          </w:tcPr>
          <w:p w:rsidR="00A771A2" w:rsidRDefault="00F60FCA" w:rsidP="004C0E99">
            <w:pPr>
              <w:pStyle w:val="Heading1"/>
              <w:outlineLvl w:val="0"/>
            </w:pPr>
            <w:bookmarkStart w:id="11" w:name="_Toc413318610"/>
            <w:bookmarkStart w:id="12" w:name="_Toc413418280"/>
            <w:r>
              <w:t xml:space="preserve">7.  </w:t>
            </w:r>
            <w:r w:rsidR="00A771A2">
              <w:t>Guidance materials and assistance from DELWP</w:t>
            </w:r>
            <w:bookmarkEnd w:id="11"/>
            <w:bookmarkEnd w:id="12"/>
          </w:p>
          <w:p w:rsidR="00A771A2" w:rsidRDefault="004C0E99" w:rsidP="00A771A2">
            <w:pPr>
              <w:pStyle w:val="Heading2"/>
              <w:outlineLvl w:val="1"/>
            </w:pPr>
            <w:r>
              <w:t>On Board</w:t>
            </w:r>
            <w:r w:rsidR="00A771A2">
              <w:t xml:space="preserve"> guidance materials</w:t>
            </w:r>
          </w:p>
          <w:p w:rsidR="00A771A2" w:rsidRDefault="003B00A6" w:rsidP="00A771A2">
            <w:hyperlink r:id="rId22" w:history="1">
              <w:r w:rsidR="00A771A2" w:rsidRPr="009C6EDC">
                <w:rPr>
                  <w:rStyle w:val="Hyperlink"/>
                </w:rPr>
                <w:t>On Board</w:t>
              </w:r>
            </w:hyperlink>
            <w:r w:rsidR="00A771A2">
              <w:t>, DELWP’s governance website (</w:t>
            </w:r>
            <w:hyperlink r:id="rId23" w:history="1">
              <w:r w:rsidR="00A771A2" w:rsidRPr="004A783C">
                <w:rPr>
                  <w:rStyle w:val="Hyperlink"/>
                </w:rPr>
                <w:t>www.delwp.vic.gov.au/onboard</w:t>
              </w:r>
            </w:hyperlink>
            <w:r w:rsidR="00A771A2">
              <w:t>), is a ‘</w:t>
            </w:r>
            <w:r w:rsidR="00A771A2" w:rsidRPr="000112CA">
              <w:rPr>
                <w:bCs/>
              </w:rPr>
              <w:t>one-stop-shop</w:t>
            </w:r>
            <w:r w:rsidR="00A771A2">
              <w:rPr>
                <w:bCs/>
              </w:rPr>
              <w:t>’</w:t>
            </w:r>
            <w:r w:rsidR="00A771A2" w:rsidRPr="000112CA">
              <w:t xml:space="preserve"> </w:t>
            </w:r>
            <w:r w:rsidR="00A771A2">
              <w:t xml:space="preserve">for DELWP agencies to obtain governance information that is tailored to meet their needs.  On Board has </w:t>
            </w:r>
            <w:hyperlink r:id="rId24" w:history="1">
              <w:r w:rsidR="00A771A2">
                <w:rPr>
                  <w:color w:val="0000FF"/>
                  <w:u w:val="single"/>
                </w:rPr>
                <w:t>support modules</w:t>
              </w:r>
            </w:hyperlink>
            <w:r w:rsidR="00A771A2">
              <w:t xml:space="preserve"> on key governance topics </w:t>
            </w:r>
            <w:r w:rsidR="005B32B1">
              <w:t>such as</w:t>
            </w:r>
            <w:r w:rsidR="00A771A2">
              <w:t xml:space="preserve"> </w:t>
            </w:r>
            <w:hyperlink r:id="rId25" w:history="1">
              <w:r w:rsidR="00A771A2">
                <w:rPr>
                  <w:color w:val="0000FF"/>
                  <w:u w:val="single"/>
                </w:rPr>
                <w:t>board meetings and decisions</w:t>
              </w:r>
            </w:hyperlink>
            <w:r w:rsidR="00A771A2">
              <w:t xml:space="preserve">; </w:t>
            </w:r>
            <w:hyperlink r:id="rId26" w:history="1">
              <w:r w:rsidR="00A771A2">
                <w:rPr>
                  <w:color w:val="0000FF"/>
                  <w:u w:val="single"/>
                </w:rPr>
                <w:t>conflict of interest</w:t>
              </w:r>
            </w:hyperlink>
            <w:r w:rsidR="00A771A2">
              <w:t xml:space="preserve">; </w:t>
            </w:r>
            <w:hyperlink r:id="rId27" w:history="1">
              <w:r w:rsidR="00A771A2">
                <w:rPr>
                  <w:color w:val="0000FF"/>
                  <w:u w:val="single"/>
                </w:rPr>
                <w:t>gifts, benefits and hospitality</w:t>
              </w:r>
            </w:hyperlink>
            <w:r w:rsidR="005B32B1">
              <w:t>, etc.</w:t>
            </w:r>
            <w:r w:rsidR="00A771A2">
              <w:t xml:space="preserve">  </w:t>
            </w:r>
            <w:r w:rsidR="005B32B1">
              <w:t>Support m</w:t>
            </w:r>
            <w:r w:rsidR="00A771A2">
              <w:t xml:space="preserve">odules contain </w:t>
            </w:r>
            <w:r w:rsidR="00A771A2">
              <w:rPr>
                <w:b/>
                <w:bCs/>
              </w:rPr>
              <w:t>model policies</w:t>
            </w:r>
            <w:r w:rsidR="00A771A2">
              <w:t xml:space="preserve"> and templates, </w:t>
            </w:r>
            <w:r w:rsidR="00A771A2">
              <w:rPr>
                <w:b/>
                <w:bCs/>
              </w:rPr>
              <w:t>guidance notes</w:t>
            </w:r>
            <w:r w:rsidR="00A771A2">
              <w:t xml:space="preserve">, governance guides, and </w:t>
            </w:r>
            <w:r w:rsidR="00A771A2">
              <w:rPr>
                <w:b/>
                <w:bCs/>
              </w:rPr>
              <w:t>direct links</w:t>
            </w:r>
            <w:r w:rsidR="00A771A2">
              <w:t xml:space="preserve"> to the topic on other websites (e.g. Victorian Public Sector Commission). </w:t>
            </w:r>
            <w:r w:rsidR="005B32B1">
              <w:t xml:space="preserve"> </w:t>
            </w:r>
            <w:r w:rsidR="00A771A2">
              <w:t xml:space="preserve">A </w:t>
            </w:r>
            <w:r w:rsidR="00A771A2" w:rsidRPr="00F137EF">
              <w:t>guidance note</w:t>
            </w:r>
            <w:r w:rsidR="00A771A2">
              <w:t xml:space="preserve"> is available in the </w:t>
            </w:r>
            <w:hyperlink r:id="rId28" w:history="1">
              <w:r w:rsidR="00A771A2">
                <w:rPr>
                  <w:rStyle w:val="Hyperlink"/>
                </w:rPr>
                <w:t>i</w:t>
              </w:r>
              <w:r w:rsidR="00A771A2" w:rsidRPr="00C92ECC">
                <w:rPr>
                  <w:rStyle w:val="Hyperlink"/>
                </w:rPr>
                <w:t>nduction</w:t>
              </w:r>
            </w:hyperlink>
            <w:r w:rsidR="00A771A2">
              <w:t xml:space="preserve"> support module that lists these resources.</w:t>
            </w:r>
          </w:p>
          <w:p w:rsidR="00DF0235" w:rsidRDefault="00DF0235" w:rsidP="00A771A2">
            <w:pPr>
              <w:pStyle w:val="Heading2"/>
              <w:outlineLvl w:val="1"/>
            </w:pPr>
          </w:p>
          <w:p w:rsidR="00A771A2" w:rsidRDefault="00A771A2" w:rsidP="00A771A2">
            <w:pPr>
              <w:pStyle w:val="Heading2"/>
              <w:outlineLvl w:val="1"/>
            </w:pPr>
            <w:r>
              <w:lastRenderedPageBreak/>
              <w:t xml:space="preserve">Your DELWP relationship manager </w:t>
            </w:r>
          </w:p>
          <w:p w:rsidR="00D17C26" w:rsidRDefault="00A771A2" w:rsidP="002153DA">
            <w:r>
              <w:t xml:space="preserve">In addition to the resources available </w:t>
            </w:r>
            <w:r w:rsidR="002153DA">
              <w:t>on</w:t>
            </w:r>
            <w:r>
              <w:t xml:space="preserve"> </w:t>
            </w:r>
            <w:hyperlink r:id="rId29" w:history="1">
              <w:proofErr w:type="spellStart"/>
              <w:r w:rsidRPr="009C6EDC">
                <w:rPr>
                  <w:rStyle w:val="Hyperlink"/>
                </w:rPr>
                <w:t>On</w:t>
              </w:r>
              <w:proofErr w:type="spellEnd"/>
              <w:r w:rsidRPr="009C6EDC">
                <w:rPr>
                  <w:rStyle w:val="Hyperlink"/>
                </w:rPr>
                <w:t xml:space="preserve"> Board</w:t>
              </w:r>
            </w:hyperlink>
            <w:r>
              <w:t>, DELWP offers support to its agencies through DELWP divisions and regional offices.  If you are a member of a DELWP agency and have a governance query, please contact your agency’s usual</w:t>
            </w:r>
            <w:r>
              <w:rPr>
                <w:b/>
                <w:bCs/>
              </w:rPr>
              <w:t xml:space="preserve"> relationship manager or team</w:t>
            </w:r>
            <w:r>
              <w:t>.  Alternatively, contact DELWP’s Customer Service Centre on 136 186.</w:t>
            </w:r>
          </w:p>
        </w:tc>
      </w:tr>
      <w:tr w:rsidR="0047525E" w:rsidTr="00326FBE">
        <w:tc>
          <w:tcPr>
            <w:tcW w:w="1415" w:type="dxa"/>
            <w:tcBorders>
              <w:top w:val="nil"/>
              <w:bottom w:val="nil"/>
            </w:tcBorders>
          </w:tcPr>
          <w:p w:rsidR="0047525E" w:rsidRDefault="005C71E6">
            <w:r>
              <w:rPr>
                <w:noProof/>
                <w:lang w:eastAsia="en-AU"/>
              </w:rPr>
              <w:lastRenderedPageBreak/>
              <w:drawing>
                <wp:inline distT="0" distB="0" distL="0" distR="0" wp14:anchorId="296E83C5" wp14:editId="0FC1E194">
                  <wp:extent cx="700405" cy="700405"/>
                  <wp:effectExtent l="0" t="0" r="4445" b="4445"/>
                  <wp:docPr id="16" name="Picture 16" descr="\\internal.vic.gov.au\DEPI\HomeDirs1\DO20\Desktop\Dockl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EPI\HomeDirs1\DO20\Desktop\Dockland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00327" cy="700327"/>
                          </a:xfrm>
                          <a:prstGeom prst="rect">
                            <a:avLst/>
                          </a:prstGeom>
                          <a:noFill/>
                          <a:ln>
                            <a:noFill/>
                          </a:ln>
                        </pic:spPr>
                      </pic:pic>
                    </a:graphicData>
                  </a:graphic>
                </wp:inline>
              </w:drawing>
            </w:r>
          </w:p>
        </w:tc>
        <w:tc>
          <w:tcPr>
            <w:tcW w:w="9352" w:type="dxa"/>
            <w:tcBorders>
              <w:top w:val="single" w:sz="12" w:space="0" w:color="BFBFBF" w:themeColor="background1" w:themeShade="BF"/>
              <w:bottom w:val="single" w:sz="12" w:space="0" w:color="BFBFBF" w:themeColor="background1" w:themeShade="BF"/>
            </w:tcBorders>
          </w:tcPr>
          <w:p w:rsidR="00A771A2" w:rsidRDefault="00F60FCA" w:rsidP="00A771A2">
            <w:pPr>
              <w:pStyle w:val="Heading1"/>
              <w:outlineLvl w:val="0"/>
            </w:pPr>
            <w:bookmarkStart w:id="13" w:name="_Toc413318611"/>
            <w:bookmarkStart w:id="14" w:name="_Toc413418281"/>
            <w:r>
              <w:t xml:space="preserve">8.  </w:t>
            </w:r>
            <w:r w:rsidR="00A771A2">
              <w:t>Other interested readers?</w:t>
            </w:r>
            <w:bookmarkEnd w:id="13"/>
            <w:bookmarkEnd w:id="14"/>
          </w:p>
          <w:p w:rsidR="0047525E" w:rsidRDefault="00A771A2" w:rsidP="00A771A2">
            <w:r>
              <w:t xml:space="preserve">If you know someone who may be interested in receiving DELWP governance e-alerts, please forward this email to them.  Interested readers can </w:t>
            </w:r>
            <w:hyperlink r:id="rId31" w:history="1">
              <w:r w:rsidRPr="003B625F">
                <w:rPr>
                  <w:rStyle w:val="Hyperlink"/>
                </w:rPr>
                <w:t>subscribe to receive e-alerts</w:t>
              </w:r>
            </w:hyperlink>
            <w:r>
              <w:t>.  Board members, executives and staff of DELWP agencies and DELWP governance staff are particularly encouraged to subscribe.</w:t>
            </w:r>
          </w:p>
        </w:tc>
      </w:tr>
      <w:tr w:rsidR="0047525E" w:rsidTr="00326FBE">
        <w:tc>
          <w:tcPr>
            <w:tcW w:w="1415" w:type="dxa"/>
            <w:tcBorders>
              <w:top w:val="nil"/>
              <w:bottom w:val="nil"/>
            </w:tcBorders>
          </w:tcPr>
          <w:p w:rsidR="0047525E" w:rsidRDefault="0047525E"/>
        </w:tc>
        <w:tc>
          <w:tcPr>
            <w:tcW w:w="9352" w:type="dxa"/>
            <w:tcBorders>
              <w:top w:val="single" w:sz="12" w:space="0" w:color="BFBFBF" w:themeColor="background1" w:themeShade="BF"/>
              <w:bottom w:val="single" w:sz="12" w:space="0" w:color="BFBFBF" w:themeColor="background1" w:themeShade="BF"/>
            </w:tcBorders>
          </w:tcPr>
          <w:p w:rsidR="00A771A2" w:rsidRDefault="00A771A2" w:rsidP="00A771A2">
            <w:pPr>
              <w:autoSpaceDE w:val="0"/>
              <w:autoSpaceDN w:val="0"/>
              <w:adjustRightInd w:val="0"/>
              <w:spacing w:before="0" w:after="0"/>
            </w:pPr>
          </w:p>
          <w:p w:rsidR="00A771A2" w:rsidRPr="00094DCE" w:rsidRDefault="00A771A2" w:rsidP="00DF0235">
            <w:r w:rsidRPr="00094DCE">
              <w:t>Regards,</w:t>
            </w:r>
          </w:p>
          <w:p w:rsidR="00A771A2" w:rsidRPr="00094DCE" w:rsidRDefault="00A771A2" w:rsidP="00DF0235">
            <w:r w:rsidRPr="00094DCE">
              <w:t>Adam Fennessy</w:t>
            </w:r>
          </w:p>
          <w:p w:rsidR="00A771A2" w:rsidRDefault="00A771A2" w:rsidP="00A771A2">
            <w:pPr>
              <w:autoSpaceDE w:val="0"/>
              <w:autoSpaceDN w:val="0"/>
              <w:adjustRightInd w:val="0"/>
              <w:spacing w:before="0" w:after="0"/>
              <w:rPr>
                <w:rFonts w:ascii="Tms Rmn" w:hAnsi="Tms Rmn" w:cs="Times New Roman"/>
                <w:color w:val="000000" w:themeColor="text1"/>
                <w:sz w:val="24"/>
                <w:szCs w:val="24"/>
              </w:rPr>
            </w:pPr>
          </w:p>
          <w:p w:rsidR="00A771A2" w:rsidRPr="00DF0235" w:rsidRDefault="00A771A2" w:rsidP="00A771A2">
            <w:pPr>
              <w:autoSpaceDE w:val="0"/>
              <w:autoSpaceDN w:val="0"/>
              <w:adjustRightInd w:val="0"/>
              <w:spacing w:before="0" w:after="0"/>
              <w:rPr>
                <w:rFonts w:cs="Calibri"/>
                <w:color w:val="3F8080"/>
              </w:rPr>
            </w:pPr>
            <w:r w:rsidRPr="00DF0235">
              <w:rPr>
                <w:rFonts w:cs="Calibri"/>
                <w:b/>
                <w:bCs/>
              </w:rPr>
              <w:t>Adam Fennessy | Secretary</w:t>
            </w:r>
            <w:r w:rsidRPr="00DF0235">
              <w:rPr>
                <w:rFonts w:cs="Calibri"/>
                <w:b/>
                <w:bCs/>
              </w:rPr>
              <w:br/>
            </w:r>
            <w:r w:rsidRPr="00DF0235">
              <w:rPr>
                <w:rFonts w:cs="Calibri"/>
                <w:color w:val="3F8080"/>
              </w:rPr>
              <w:t>Department of Environment, Land, Water &amp; Planning</w:t>
            </w:r>
          </w:p>
          <w:p w:rsidR="00A771A2" w:rsidRPr="00DF0235" w:rsidRDefault="00A771A2" w:rsidP="00A771A2">
            <w:pPr>
              <w:autoSpaceDE w:val="0"/>
              <w:autoSpaceDN w:val="0"/>
              <w:adjustRightInd w:val="0"/>
              <w:spacing w:before="0" w:after="0"/>
              <w:rPr>
                <w:rFonts w:cs="Calibri"/>
                <w:color w:val="000000"/>
              </w:rPr>
            </w:pPr>
            <w:r w:rsidRPr="00DF0235">
              <w:rPr>
                <w:rFonts w:cs="Calibri"/>
                <w:color w:val="000000"/>
              </w:rPr>
              <w:t xml:space="preserve">8 Nicholson St, East Melbourne, Victoria 3002 </w:t>
            </w:r>
          </w:p>
          <w:p w:rsidR="00A771A2" w:rsidRPr="00DF0235" w:rsidRDefault="00A771A2" w:rsidP="00A771A2">
            <w:pPr>
              <w:autoSpaceDE w:val="0"/>
              <w:autoSpaceDN w:val="0"/>
              <w:adjustRightInd w:val="0"/>
              <w:spacing w:before="0" w:after="0"/>
              <w:rPr>
                <w:rFonts w:cs="Calibri"/>
                <w:color w:val="000000"/>
              </w:rPr>
            </w:pPr>
            <w:r w:rsidRPr="00DF0235">
              <w:rPr>
                <w:rFonts w:cs="Calibri"/>
                <w:color w:val="000000"/>
              </w:rPr>
              <w:t>1 Taylor St, Epsom, Victoria 3551</w:t>
            </w:r>
            <w:r w:rsidRPr="00DF0235">
              <w:rPr>
                <w:rFonts w:cs="Calibri"/>
                <w:color w:val="000000"/>
              </w:rPr>
              <w:br/>
            </w:r>
            <w:r w:rsidRPr="00DF0235">
              <w:rPr>
                <w:rFonts w:cs="Calibri"/>
                <w:b/>
                <w:bCs/>
                <w:color w:val="000000"/>
              </w:rPr>
              <w:t>T</w:t>
            </w:r>
            <w:r w:rsidRPr="00DF0235">
              <w:rPr>
                <w:rFonts w:cs="Calibri"/>
                <w:color w:val="000000"/>
              </w:rPr>
              <w:t xml:space="preserve">: 03 9637 8765 | </w:t>
            </w:r>
            <w:r w:rsidRPr="00DF0235">
              <w:rPr>
                <w:rFonts w:cs="Calibri"/>
                <w:b/>
                <w:bCs/>
                <w:color w:val="000000"/>
              </w:rPr>
              <w:t>E</w:t>
            </w:r>
            <w:r w:rsidRPr="00DF0235">
              <w:rPr>
                <w:rFonts w:cs="Calibri"/>
                <w:color w:val="000000"/>
              </w:rPr>
              <w:t>: adam.fennessy@delwp.vic.gov.au</w:t>
            </w:r>
          </w:p>
          <w:p w:rsidR="00A771A2" w:rsidRPr="00DF0235" w:rsidRDefault="00A771A2" w:rsidP="00A771A2">
            <w:pPr>
              <w:autoSpaceDE w:val="0"/>
              <w:autoSpaceDN w:val="0"/>
              <w:adjustRightInd w:val="0"/>
              <w:spacing w:after="0"/>
              <w:rPr>
                <w:rFonts w:cs="Calibri"/>
                <w:color w:val="000000"/>
              </w:rPr>
            </w:pPr>
            <w:r w:rsidRPr="00DF0235">
              <w:rPr>
                <w:rFonts w:cs="Calibri"/>
                <w:color w:val="000000"/>
              </w:rPr>
              <w:t>www.delwp.vic.gov.au</w:t>
            </w:r>
          </w:p>
          <w:p w:rsidR="0047525E" w:rsidRDefault="00A771A2" w:rsidP="00A771A2">
            <w:pPr>
              <w:rPr>
                <w:rFonts w:cs="Calibri"/>
                <w:color w:val="000000"/>
                <w:sz w:val="22"/>
                <w:szCs w:val="22"/>
              </w:rPr>
            </w:pPr>
            <w:r>
              <w:rPr>
                <w:rFonts w:cs="Calibri"/>
                <w:noProof/>
                <w:color w:val="000000"/>
                <w:sz w:val="22"/>
                <w:szCs w:val="22"/>
                <w:lang w:eastAsia="en-AU"/>
              </w:rPr>
              <w:drawing>
                <wp:inline distT="0" distB="0" distL="0" distR="0" wp14:anchorId="2BE81037" wp14:editId="00C2CB5A">
                  <wp:extent cx="288925" cy="288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rPr>
                <w:rFonts w:cs="Calibri"/>
                <w:color w:val="000000"/>
                <w:sz w:val="22"/>
                <w:szCs w:val="22"/>
              </w:rPr>
              <w:t xml:space="preserve">  </w:t>
            </w:r>
            <w:r>
              <w:rPr>
                <w:rFonts w:cs="Calibri"/>
                <w:noProof/>
                <w:color w:val="000000"/>
                <w:sz w:val="22"/>
                <w:szCs w:val="22"/>
                <w:lang w:eastAsia="en-AU"/>
              </w:rPr>
              <w:drawing>
                <wp:inline distT="0" distB="0" distL="0" distR="0" wp14:anchorId="4BFFE61B" wp14:editId="332B6C4F">
                  <wp:extent cx="288925" cy="288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rPr>
                <w:rFonts w:cs="Calibri"/>
                <w:color w:val="000000"/>
                <w:sz w:val="22"/>
                <w:szCs w:val="22"/>
              </w:rPr>
              <w:t xml:space="preserve">  </w:t>
            </w:r>
            <w:r>
              <w:rPr>
                <w:rFonts w:cs="Calibri"/>
                <w:noProof/>
                <w:color w:val="000000"/>
                <w:sz w:val="22"/>
                <w:szCs w:val="22"/>
                <w:lang w:eastAsia="en-AU"/>
              </w:rPr>
              <w:drawing>
                <wp:inline distT="0" distB="0" distL="0" distR="0" wp14:anchorId="23E6D11E" wp14:editId="68F12B23">
                  <wp:extent cx="288925" cy="288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rPr>
                <w:rFonts w:cs="Calibri"/>
                <w:color w:val="000000"/>
                <w:sz w:val="22"/>
                <w:szCs w:val="22"/>
              </w:rPr>
              <w:t xml:space="preserve">  </w:t>
            </w:r>
            <w:r>
              <w:rPr>
                <w:rFonts w:cs="Calibri"/>
                <w:noProof/>
                <w:color w:val="000000"/>
                <w:sz w:val="22"/>
                <w:szCs w:val="22"/>
                <w:lang w:eastAsia="en-AU"/>
              </w:rPr>
              <w:drawing>
                <wp:inline distT="0" distB="0" distL="0" distR="0" wp14:anchorId="0710C33F" wp14:editId="291F0016">
                  <wp:extent cx="288925" cy="288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rPr>
                <w:rFonts w:cs="Calibri"/>
                <w:color w:val="000000"/>
                <w:sz w:val="22"/>
                <w:szCs w:val="22"/>
              </w:rPr>
              <w:t xml:space="preserve">  </w:t>
            </w:r>
            <w:r>
              <w:rPr>
                <w:rFonts w:cs="Calibri"/>
                <w:noProof/>
                <w:color w:val="000000"/>
                <w:sz w:val="22"/>
                <w:szCs w:val="22"/>
                <w:lang w:eastAsia="en-AU"/>
              </w:rPr>
              <w:drawing>
                <wp:inline distT="0" distB="0" distL="0" distR="0" wp14:anchorId="25530850" wp14:editId="7D72A100">
                  <wp:extent cx="288925" cy="288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rPr>
                <w:rFonts w:cs="Calibri"/>
                <w:color w:val="000000"/>
                <w:sz w:val="22"/>
                <w:szCs w:val="22"/>
              </w:rPr>
              <w:t xml:space="preserve">    </w:t>
            </w:r>
          </w:p>
          <w:p w:rsidR="00AE1B13" w:rsidRDefault="00AE1B13" w:rsidP="00A771A2"/>
        </w:tc>
      </w:tr>
      <w:tr w:rsidR="0047525E" w:rsidTr="00326FBE">
        <w:tc>
          <w:tcPr>
            <w:tcW w:w="1415" w:type="dxa"/>
            <w:tcBorders>
              <w:top w:val="nil"/>
              <w:bottom w:val="nil"/>
            </w:tcBorders>
          </w:tcPr>
          <w:p w:rsidR="0047525E" w:rsidRDefault="0047525E"/>
        </w:tc>
        <w:tc>
          <w:tcPr>
            <w:tcW w:w="9352" w:type="dxa"/>
            <w:tcBorders>
              <w:top w:val="single" w:sz="12" w:space="0" w:color="BFBFBF" w:themeColor="background1" w:themeShade="BF"/>
              <w:bottom w:val="single" w:sz="12" w:space="0" w:color="BFBFBF" w:themeColor="background1" w:themeShade="BF"/>
            </w:tcBorders>
          </w:tcPr>
          <w:p w:rsidR="00A771A2" w:rsidRDefault="002153DA" w:rsidP="00A771A2">
            <w:pPr>
              <w:pStyle w:val="Heading2"/>
              <w:spacing w:after="40"/>
              <w:outlineLvl w:val="1"/>
            </w:pPr>
            <w:r>
              <w:t>E-alert library</w:t>
            </w:r>
          </w:p>
          <w:p w:rsidR="00A771A2" w:rsidRDefault="00A771A2" w:rsidP="00A771A2">
            <w:r>
              <w:t>Governance e-alerts and attachments can be downloaded from the</w:t>
            </w:r>
            <w:r w:rsidR="008959A5">
              <w:t xml:space="preserve"> </w:t>
            </w:r>
            <w:hyperlink r:id="rId37" w:history="1">
              <w:r w:rsidR="008959A5">
                <w:rPr>
                  <w:rStyle w:val="Hyperlink"/>
                </w:rPr>
                <w:t>E-alert s</w:t>
              </w:r>
              <w:r w:rsidRPr="004B4AD4">
                <w:rPr>
                  <w:rStyle w:val="Hyperlink"/>
                </w:rPr>
                <w:t>upport module</w:t>
              </w:r>
            </w:hyperlink>
            <w:r w:rsidR="008959A5">
              <w:rPr>
                <w:rStyle w:val="Hyperlink"/>
              </w:rPr>
              <w:t>.</w:t>
            </w:r>
            <w:r>
              <w:t xml:space="preserve"> </w:t>
            </w:r>
          </w:p>
          <w:p w:rsidR="00A771A2" w:rsidRPr="00F13BCE" w:rsidRDefault="00A771A2" w:rsidP="00A771A2">
            <w:pPr>
              <w:spacing w:before="0"/>
              <w:rPr>
                <w:sz w:val="16"/>
                <w:szCs w:val="16"/>
              </w:rPr>
            </w:pPr>
            <w:r w:rsidRPr="00F13BCE">
              <w:rPr>
                <w:b/>
                <w:sz w:val="16"/>
                <w:szCs w:val="16"/>
              </w:rPr>
              <w:t>Disclaimer</w:t>
            </w:r>
            <w:r w:rsidRPr="00F13BCE">
              <w:rPr>
                <w:sz w:val="16"/>
                <w:szCs w:val="16"/>
              </w:rPr>
              <w:t>: e-alerts and their attachments may be of assistance to you but the State of Victoria and its employees do not guarantee that the information is without flaw of any kind or is wholly appropriate for your particular purposes and therefore disclaims all liability for any error, loss or other consequence which may arise from you relying on it.</w:t>
            </w:r>
          </w:p>
          <w:p w:rsidR="00A771A2" w:rsidRDefault="00A771A2" w:rsidP="00A771A2">
            <w:pPr>
              <w:pStyle w:val="Heading2"/>
              <w:outlineLvl w:val="1"/>
              <w:rPr>
                <w:color w:val="2F2F2F"/>
              </w:rPr>
            </w:pPr>
            <w:r>
              <w:t>Other subscriptions you may like</w:t>
            </w:r>
            <w:r>
              <w:rPr>
                <w:color w:val="2F2F2F"/>
              </w:rPr>
              <w:t xml:space="preserve"> </w:t>
            </w:r>
          </w:p>
          <w:p w:rsidR="00A771A2" w:rsidRPr="007D08BA" w:rsidRDefault="00A771A2" w:rsidP="00A771A2">
            <w:pPr>
              <w:spacing w:before="40" w:after="40"/>
            </w:pPr>
            <w:r w:rsidRPr="007D08BA">
              <w:t xml:space="preserve">In addition to </w:t>
            </w:r>
            <w:hyperlink r:id="rId38" w:history="1">
              <w:r w:rsidRPr="007D08BA">
                <w:rPr>
                  <w:rStyle w:val="Hyperlink"/>
                </w:rPr>
                <w:t>subscribing to receive DELWP governance e-alerts</w:t>
              </w:r>
            </w:hyperlink>
            <w:r w:rsidRPr="007D08BA">
              <w:t xml:space="preserve">, you may be interested in subscribing to: </w:t>
            </w:r>
          </w:p>
          <w:p w:rsidR="00A771A2" w:rsidRPr="007D08BA" w:rsidRDefault="00A771A2" w:rsidP="00A771A2">
            <w:pPr>
              <w:pStyle w:val="ListBullet"/>
              <w:spacing w:before="40" w:after="40"/>
            </w:pPr>
            <w:r w:rsidRPr="007D08BA">
              <w:t xml:space="preserve">the Victorian Public Sector Commission's </w:t>
            </w:r>
            <w:hyperlink r:id="rId39" w:history="1">
              <w:r w:rsidRPr="007D08BA">
                <w:rPr>
                  <w:color w:val="0000FF"/>
                  <w:u w:val="single"/>
                </w:rPr>
                <w:t>e-news</w:t>
              </w:r>
            </w:hyperlink>
            <w:r w:rsidRPr="007D08BA">
              <w:t xml:space="preserve"> and </w:t>
            </w:r>
            <w:hyperlink r:id="rId40" w:history="1">
              <w:r w:rsidRPr="007D08BA">
                <w:rPr>
                  <w:rStyle w:val="Hyperlink"/>
                </w:rPr>
                <w:t>governance insights</w:t>
              </w:r>
            </w:hyperlink>
            <w:r w:rsidRPr="007D08BA">
              <w:t xml:space="preserve"> </w:t>
            </w:r>
          </w:p>
          <w:p w:rsidR="00A771A2" w:rsidRPr="007D08BA" w:rsidRDefault="00A771A2" w:rsidP="00A771A2">
            <w:pPr>
              <w:pStyle w:val="ListBullet"/>
              <w:spacing w:before="40" w:after="40"/>
            </w:pPr>
            <w:r w:rsidRPr="007D08BA">
              <w:t xml:space="preserve">the Victorian Ombudsman's </w:t>
            </w:r>
            <w:hyperlink r:id="rId41" w:history="1">
              <w:r w:rsidRPr="007D08BA">
                <w:rPr>
                  <w:color w:val="0000FF"/>
                  <w:u w:val="single"/>
                </w:rPr>
                <w:t>media alerts</w:t>
              </w:r>
            </w:hyperlink>
            <w:r w:rsidRPr="007D08BA">
              <w:t xml:space="preserve"> </w:t>
            </w:r>
          </w:p>
          <w:p w:rsidR="00A771A2" w:rsidRPr="00AE1B13" w:rsidRDefault="00A771A2" w:rsidP="00AE1B13">
            <w:pPr>
              <w:pStyle w:val="ListBullet"/>
              <w:spacing w:before="40" w:after="40"/>
              <w:rPr>
                <w:sz w:val="16"/>
                <w:szCs w:val="16"/>
              </w:rPr>
            </w:pPr>
            <w:r w:rsidRPr="007D08BA">
              <w:t xml:space="preserve">the Victorian Auditor-General's Office </w:t>
            </w:r>
            <w:hyperlink r:id="rId42" w:history="1">
              <w:r w:rsidRPr="007D08BA">
                <w:rPr>
                  <w:color w:val="0000FF"/>
                  <w:u w:val="single"/>
                </w:rPr>
                <w:t>news service</w:t>
              </w:r>
            </w:hyperlink>
            <w:r w:rsidRPr="007D08BA">
              <w:t>.</w:t>
            </w:r>
          </w:p>
        </w:tc>
      </w:tr>
    </w:tbl>
    <w:p w:rsidR="00D17C26" w:rsidRDefault="00D17C26"/>
    <w:sectPr w:rsidR="00D17C26" w:rsidSect="00B41126">
      <w:pgSz w:w="11906" w:h="16838" w:code="9"/>
      <w:pgMar w:top="1134" w:right="680"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45AAD34"/>
    <w:lvl w:ilvl="0">
      <w:start w:val="1"/>
      <w:numFmt w:val="decimal"/>
      <w:lvlText w:val="%1."/>
      <w:lvlJc w:val="left"/>
      <w:pPr>
        <w:tabs>
          <w:tab w:val="num" w:pos="643"/>
        </w:tabs>
        <w:ind w:left="643" w:hanging="360"/>
      </w:pPr>
    </w:lvl>
  </w:abstractNum>
  <w:abstractNum w:abstractNumId="1">
    <w:nsid w:val="FFFFFF82"/>
    <w:multiLevelType w:val="singleLevel"/>
    <w:tmpl w:val="BC84A87A"/>
    <w:lvl w:ilvl="0">
      <w:start w:val="1"/>
      <w:numFmt w:val="bullet"/>
      <w:lvlText w:val=""/>
      <w:lvlJc w:val="left"/>
      <w:pPr>
        <w:ind w:left="926" w:hanging="360"/>
      </w:pPr>
      <w:rPr>
        <w:rFonts w:ascii="Wingdings" w:hAnsi="Wingdings" w:hint="default"/>
      </w:rPr>
    </w:lvl>
  </w:abstractNum>
  <w:abstractNum w:abstractNumId="2">
    <w:nsid w:val="FFFFFF83"/>
    <w:multiLevelType w:val="singleLevel"/>
    <w:tmpl w:val="27E6058A"/>
    <w:lvl w:ilvl="0">
      <w:start w:val="1"/>
      <w:numFmt w:val="bullet"/>
      <w:lvlText w:val=""/>
      <w:lvlJc w:val="left"/>
      <w:pPr>
        <w:ind w:left="643" w:hanging="360"/>
      </w:pPr>
      <w:rPr>
        <w:rFonts w:ascii="Symbol" w:hAnsi="Symbol" w:hint="default"/>
      </w:rPr>
    </w:lvl>
  </w:abstractNum>
  <w:abstractNum w:abstractNumId="3">
    <w:nsid w:val="FFFFFF88"/>
    <w:multiLevelType w:val="singleLevel"/>
    <w:tmpl w:val="259048CC"/>
    <w:lvl w:ilvl="0">
      <w:start w:val="1"/>
      <w:numFmt w:val="decimal"/>
      <w:lvlText w:val="%1."/>
      <w:lvlJc w:val="left"/>
      <w:pPr>
        <w:tabs>
          <w:tab w:val="num" w:pos="360"/>
        </w:tabs>
        <w:ind w:left="360" w:hanging="360"/>
      </w:pPr>
    </w:lvl>
  </w:abstractNum>
  <w:abstractNum w:abstractNumId="4">
    <w:nsid w:val="FFFFFF89"/>
    <w:multiLevelType w:val="singleLevel"/>
    <w:tmpl w:val="2B1C173E"/>
    <w:lvl w:ilvl="0">
      <w:start w:val="1"/>
      <w:numFmt w:val="bullet"/>
      <w:lvlText w:val=""/>
      <w:lvlJc w:val="left"/>
      <w:pPr>
        <w:tabs>
          <w:tab w:val="num" w:pos="360"/>
        </w:tabs>
        <w:ind w:left="360" w:hanging="360"/>
      </w:pPr>
      <w:rPr>
        <w:rFonts w:ascii="Symbol" w:hAnsi="Symbol" w:hint="default"/>
      </w:rPr>
    </w:lvl>
  </w:abstractNum>
  <w:abstractNum w:abstractNumId="5">
    <w:nsid w:val="034A50E8"/>
    <w:multiLevelType w:val="multilevel"/>
    <w:tmpl w:val="D8025E48"/>
    <w:lvl w:ilvl="0">
      <w:start w:val="1"/>
      <w:numFmt w:val="lowerLetter"/>
      <w:pStyle w:val="AlphaNumbering"/>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Symbol" w:hAnsi="Symbol" w:hint="default"/>
        <w:color w:val="auto"/>
        <w:position w:val="0"/>
        <w:sz w:val="18"/>
      </w:rPr>
    </w:lvl>
    <w:lvl w:ilvl="2">
      <w:start w:val="1"/>
      <w:numFmt w:val="decimal"/>
      <w:lvlText w:val="%3."/>
      <w:lvlJc w:val="left"/>
      <w:pPr>
        <w:tabs>
          <w:tab w:val="num" w:pos="680"/>
        </w:tabs>
        <w:ind w:left="680" w:hanging="226"/>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nsid w:val="081956F9"/>
    <w:multiLevelType w:val="multilevel"/>
    <w:tmpl w:val="D7880524"/>
    <w:lvl w:ilvl="0">
      <w:start w:val="1"/>
      <w:numFmt w:val="bullet"/>
      <w:lvlText w:val="•"/>
      <w:lvlJc w:val="left"/>
      <w:pPr>
        <w:tabs>
          <w:tab w:val="num" w:pos="284"/>
        </w:tabs>
        <w:ind w:left="284" w:hanging="284"/>
      </w:pPr>
      <w:rPr>
        <w:rFonts w:ascii="Corbel" w:hAnsi="Corbe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C6419D6"/>
    <w:multiLevelType w:val="hybridMultilevel"/>
    <w:tmpl w:val="2266FD2A"/>
    <w:lvl w:ilvl="0" w:tplc="BD46D06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DE90ACE"/>
    <w:multiLevelType w:val="multilevel"/>
    <w:tmpl w:val="B3A2BD28"/>
    <w:lvl w:ilvl="0">
      <w:start w:val="1"/>
      <w:numFmt w:val="decimal"/>
      <w:pStyle w:val="ListNumber"/>
      <w:lvlText w:val="%1."/>
      <w:lvlJc w:val="left"/>
      <w:pPr>
        <w:tabs>
          <w:tab w:val="num" w:pos="284"/>
        </w:tabs>
        <w:ind w:left="284" w:hanging="284"/>
      </w:pPr>
      <w:rPr>
        <w:rFonts w:hint="default"/>
        <w:spacing w:val="-10"/>
        <w:position w:val="0"/>
        <w:sz w:val="18"/>
      </w:rPr>
    </w:lvl>
    <w:lvl w:ilvl="1">
      <w:start w:val="1"/>
      <w:numFmt w:val="lowerLetter"/>
      <w:pStyle w:val="ListNumber2"/>
      <w:lvlText w:val="%2."/>
      <w:lvlJc w:val="left"/>
      <w:pPr>
        <w:tabs>
          <w:tab w:val="num" w:pos="567"/>
        </w:tabs>
        <w:ind w:left="567" w:hanging="283"/>
      </w:pPr>
      <w:rPr>
        <w:rFonts w:hint="default"/>
        <w:spacing w:val="0"/>
        <w:w w:val="100"/>
        <w:kern w:val="0"/>
        <w:position w:val="0"/>
        <w:sz w:val="18"/>
      </w:rPr>
    </w:lvl>
    <w:lvl w:ilvl="2">
      <w:start w:val="1"/>
      <w:numFmt w:val="lowerRoman"/>
      <w:lvlText w:val="%3. "/>
      <w:lvlJc w:val="left"/>
      <w:pPr>
        <w:tabs>
          <w:tab w:val="num" w:pos="851"/>
        </w:tabs>
        <w:ind w:left="851" w:hanging="284"/>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9">
    <w:nsid w:val="35F109F8"/>
    <w:multiLevelType w:val="multilevel"/>
    <w:tmpl w:val="645A6896"/>
    <w:lvl w:ilvl="0">
      <w:start w:val="1"/>
      <w:numFmt w:val="bullet"/>
      <w:pStyle w:val="ListBullet"/>
      <w:lvlText w:val=""/>
      <w:lvlJc w:val="left"/>
      <w:pPr>
        <w:tabs>
          <w:tab w:val="num" w:pos="227"/>
        </w:tabs>
        <w:ind w:left="227" w:hanging="227"/>
      </w:pPr>
      <w:rPr>
        <w:rFonts w:ascii="Symbol" w:hAnsi="Symbol" w:hint="default"/>
        <w:color w:val="1C1C1C"/>
        <w:position w:val="2"/>
        <w:sz w:val="16"/>
      </w:rPr>
    </w:lvl>
    <w:lvl w:ilvl="1">
      <w:start w:val="1"/>
      <w:numFmt w:val="bullet"/>
      <w:pStyle w:val="ListBullet2"/>
      <w:lvlText w:val=""/>
      <w:lvlJc w:val="left"/>
      <w:pPr>
        <w:tabs>
          <w:tab w:val="num" w:pos="454"/>
        </w:tabs>
        <w:ind w:left="454" w:hanging="227"/>
      </w:pPr>
      <w:rPr>
        <w:rFonts w:ascii="Symbol" w:hAnsi="Symbol" w:hint="default"/>
        <w:color w:val="1C1C1C"/>
      </w:rPr>
    </w:lvl>
    <w:lvl w:ilvl="2">
      <w:start w:val="1"/>
      <w:numFmt w:val="bullet"/>
      <w:pStyle w:val="ListBullet3"/>
      <w:lvlText w:val=""/>
      <w:lvlJc w:val="left"/>
      <w:pPr>
        <w:tabs>
          <w:tab w:val="num" w:pos="680"/>
        </w:tabs>
        <w:ind w:left="680" w:hanging="226"/>
      </w:pPr>
      <w:rPr>
        <w:rFonts w:ascii="Symbol" w:hAnsi="Symbol" w:hint="default"/>
        <w:color w:val="1C1C1C"/>
      </w:rPr>
    </w:lvl>
    <w:lvl w:ilvl="3">
      <w:start w:val="1"/>
      <w:numFmt w:val="bullet"/>
      <w:lvlText w:val=""/>
      <w:lvlJc w:val="left"/>
      <w:pPr>
        <w:tabs>
          <w:tab w:val="num" w:pos="1247"/>
        </w:tabs>
        <w:ind w:left="1247" w:hanging="311"/>
      </w:pPr>
      <w:rPr>
        <w:rFonts w:ascii="Symbol" w:hAnsi="Symbol" w:hint="default"/>
        <w:color w:val="000000"/>
      </w:rPr>
    </w:lvl>
    <w:lvl w:ilvl="4">
      <w:start w:val="1"/>
      <w:numFmt w:val="bullet"/>
      <w:lvlText w:val=""/>
      <w:lvlJc w:val="left"/>
      <w:pPr>
        <w:tabs>
          <w:tab w:val="num" w:pos="1559"/>
        </w:tabs>
        <w:ind w:left="1559" w:hanging="312"/>
      </w:pPr>
      <w:rPr>
        <w:rFonts w:ascii="Symbol" w:hAnsi="Symbol" w:hint="default"/>
        <w:color w:val="000000"/>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10">
    <w:nsid w:val="5FE05F55"/>
    <w:multiLevelType w:val="hybridMultilevel"/>
    <w:tmpl w:val="8E46AC10"/>
    <w:lvl w:ilvl="0" w:tplc="726E819C">
      <w:start w:val="1"/>
      <w:numFmt w:val="lowerLetter"/>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5"/>
  </w:num>
  <w:num w:numId="6">
    <w:abstractNumId w:val="6"/>
  </w:num>
  <w:num w:numId="7">
    <w:abstractNumId w:val="10"/>
  </w:num>
  <w:num w:numId="8">
    <w:abstractNumId w:val="6"/>
  </w:num>
  <w:num w:numId="9">
    <w:abstractNumId w:val="9"/>
  </w:num>
  <w:num w:numId="10">
    <w:abstractNumId w:val="3"/>
  </w:num>
  <w:num w:numId="11">
    <w:abstractNumId w:val="8"/>
  </w:num>
  <w:num w:numId="12">
    <w:abstractNumId w:val="9"/>
  </w:num>
  <w:num w:numId="13">
    <w:abstractNumId w:val="0"/>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5C"/>
    <w:rsid w:val="000054C7"/>
    <w:rsid w:val="00026946"/>
    <w:rsid w:val="0006589D"/>
    <w:rsid w:val="00072505"/>
    <w:rsid w:val="000859A0"/>
    <w:rsid w:val="0009553A"/>
    <w:rsid w:val="000C6AF0"/>
    <w:rsid w:val="001465A7"/>
    <w:rsid w:val="00192749"/>
    <w:rsid w:val="00193DE7"/>
    <w:rsid w:val="001C7A22"/>
    <w:rsid w:val="001C7BE3"/>
    <w:rsid w:val="00203995"/>
    <w:rsid w:val="00207AB4"/>
    <w:rsid w:val="002153DA"/>
    <w:rsid w:val="002559C5"/>
    <w:rsid w:val="002601CD"/>
    <w:rsid w:val="00273525"/>
    <w:rsid w:val="002A01C4"/>
    <w:rsid w:val="002C052E"/>
    <w:rsid w:val="002C41B7"/>
    <w:rsid w:val="002D09AC"/>
    <w:rsid w:val="00303E4F"/>
    <w:rsid w:val="0031510B"/>
    <w:rsid w:val="00316E1A"/>
    <w:rsid w:val="00326FBE"/>
    <w:rsid w:val="00336B98"/>
    <w:rsid w:val="003633DF"/>
    <w:rsid w:val="0037247A"/>
    <w:rsid w:val="003726B2"/>
    <w:rsid w:val="003B00A6"/>
    <w:rsid w:val="003D3365"/>
    <w:rsid w:val="003D51A0"/>
    <w:rsid w:val="003D5655"/>
    <w:rsid w:val="003D5A90"/>
    <w:rsid w:val="003F60D4"/>
    <w:rsid w:val="004409E5"/>
    <w:rsid w:val="00442574"/>
    <w:rsid w:val="0047525E"/>
    <w:rsid w:val="00481D40"/>
    <w:rsid w:val="00492457"/>
    <w:rsid w:val="004A6B1D"/>
    <w:rsid w:val="004B51FF"/>
    <w:rsid w:val="004B66EF"/>
    <w:rsid w:val="004C0E99"/>
    <w:rsid w:val="004C77B6"/>
    <w:rsid w:val="004E3A6F"/>
    <w:rsid w:val="004F2DFD"/>
    <w:rsid w:val="00501888"/>
    <w:rsid w:val="005502C9"/>
    <w:rsid w:val="005A775C"/>
    <w:rsid w:val="005B32B1"/>
    <w:rsid w:val="005C71E6"/>
    <w:rsid w:val="00607180"/>
    <w:rsid w:val="00634B6F"/>
    <w:rsid w:val="00650BF1"/>
    <w:rsid w:val="006734F5"/>
    <w:rsid w:val="006944C1"/>
    <w:rsid w:val="006955F5"/>
    <w:rsid w:val="006A7C3B"/>
    <w:rsid w:val="006B40D1"/>
    <w:rsid w:val="006B7253"/>
    <w:rsid w:val="007042A3"/>
    <w:rsid w:val="00715526"/>
    <w:rsid w:val="00723FAA"/>
    <w:rsid w:val="007454D8"/>
    <w:rsid w:val="007758DD"/>
    <w:rsid w:val="00781872"/>
    <w:rsid w:val="00785F38"/>
    <w:rsid w:val="007B1BB7"/>
    <w:rsid w:val="007B2F36"/>
    <w:rsid w:val="007C7BB9"/>
    <w:rsid w:val="007D08BA"/>
    <w:rsid w:val="007D354D"/>
    <w:rsid w:val="007F3E38"/>
    <w:rsid w:val="008079AD"/>
    <w:rsid w:val="00822BBA"/>
    <w:rsid w:val="00841026"/>
    <w:rsid w:val="00846E9E"/>
    <w:rsid w:val="00853474"/>
    <w:rsid w:val="008623AD"/>
    <w:rsid w:val="00870E11"/>
    <w:rsid w:val="00877054"/>
    <w:rsid w:val="008959A5"/>
    <w:rsid w:val="008C744F"/>
    <w:rsid w:val="00901F42"/>
    <w:rsid w:val="009122C5"/>
    <w:rsid w:val="00914413"/>
    <w:rsid w:val="009152AF"/>
    <w:rsid w:val="009172D3"/>
    <w:rsid w:val="00947861"/>
    <w:rsid w:val="009535D6"/>
    <w:rsid w:val="0097069B"/>
    <w:rsid w:val="0098385C"/>
    <w:rsid w:val="00987A3F"/>
    <w:rsid w:val="00987E4F"/>
    <w:rsid w:val="00995988"/>
    <w:rsid w:val="009D268A"/>
    <w:rsid w:val="009D31E2"/>
    <w:rsid w:val="009D47CC"/>
    <w:rsid w:val="009F3E3E"/>
    <w:rsid w:val="009F7FFC"/>
    <w:rsid w:val="00A21102"/>
    <w:rsid w:val="00A315D2"/>
    <w:rsid w:val="00A57393"/>
    <w:rsid w:val="00A771A2"/>
    <w:rsid w:val="00A9770D"/>
    <w:rsid w:val="00AA0659"/>
    <w:rsid w:val="00AD67B8"/>
    <w:rsid w:val="00AE1B13"/>
    <w:rsid w:val="00AF27AF"/>
    <w:rsid w:val="00AF74DD"/>
    <w:rsid w:val="00B41126"/>
    <w:rsid w:val="00B70D0D"/>
    <w:rsid w:val="00B755C2"/>
    <w:rsid w:val="00B82FEB"/>
    <w:rsid w:val="00BB1596"/>
    <w:rsid w:val="00BE5EEE"/>
    <w:rsid w:val="00C10B08"/>
    <w:rsid w:val="00C200C0"/>
    <w:rsid w:val="00C414EE"/>
    <w:rsid w:val="00C5183D"/>
    <w:rsid w:val="00C64723"/>
    <w:rsid w:val="00C668A5"/>
    <w:rsid w:val="00C93E3C"/>
    <w:rsid w:val="00C969FE"/>
    <w:rsid w:val="00CB49F9"/>
    <w:rsid w:val="00CF5C16"/>
    <w:rsid w:val="00D10D40"/>
    <w:rsid w:val="00D16CAB"/>
    <w:rsid w:val="00D17C26"/>
    <w:rsid w:val="00D25E35"/>
    <w:rsid w:val="00D271DF"/>
    <w:rsid w:val="00D91B27"/>
    <w:rsid w:val="00DA74E5"/>
    <w:rsid w:val="00DB55C2"/>
    <w:rsid w:val="00DC33D6"/>
    <w:rsid w:val="00DC7AB1"/>
    <w:rsid w:val="00DE1D8D"/>
    <w:rsid w:val="00DE49C4"/>
    <w:rsid w:val="00DE62A6"/>
    <w:rsid w:val="00DE7C93"/>
    <w:rsid w:val="00DF0235"/>
    <w:rsid w:val="00E00784"/>
    <w:rsid w:val="00E11A40"/>
    <w:rsid w:val="00E2799C"/>
    <w:rsid w:val="00E55D75"/>
    <w:rsid w:val="00E8185B"/>
    <w:rsid w:val="00EA515C"/>
    <w:rsid w:val="00EB2886"/>
    <w:rsid w:val="00EE3987"/>
    <w:rsid w:val="00F01DC7"/>
    <w:rsid w:val="00F1270F"/>
    <w:rsid w:val="00F13B6C"/>
    <w:rsid w:val="00F143BF"/>
    <w:rsid w:val="00F15214"/>
    <w:rsid w:val="00F1774E"/>
    <w:rsid w:val="00F17DA6"/>
    <w:rsid w:val="00F2457A"/>
    <w:rsid w:val="00F25F0C"/>
    <w:rsid w:val="00F36E4E"/>
    <w:rsid w:val="00F52B41"/>
    <w:rsid w:val="00F60FCA"/>
    <w:rsid w:val="00F81E06"/>
    <w:rsid w:val="00F862D5"/>
    <w:rsid w:val="00F91EDF"/>
    <w:rsid w:val="00F92AD3"/>
    <w:rsid w:val="00F96993"/>
    <w:rsid w:val="00FA7D32"/>
    <w:rsid w:val="00FF1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themeColor="text1"/>
        <w:sz w:val="18"/>
        <w:szCs w:val="18"/>
        <w:lang w:val="en-AU"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semiHidden="0" w:uiPriority="7"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4"/>
    <w:lsdException w:name="caption" w:uiPriority="0" w:qFormat="1"/>
    <w:lsdException w:name="footnote reference" w:uiPriority="6"/>
    <w:lsdException w:name="endnote reference" w:semiHidden="0" w:uiPriority="6" w:unhideWhenUsed="0"/>
    <w:lsdException w:name="endnote text" w:semiHidden="0" w:uiPriority="5" w:unhideWhenUsed="0"/>
    <w:lsdException w:name="List" w:semiHidden="0" w:uiPriority="2" w:unhideWhenUsed="0"/>
    <w:lsdException w:name="List Bullet" w:uiPriority="0" w:qFormat="1"/>
    <w:lsdException w:name="List Number" w:uiPriority="0" w:qFormat="1"/>
    <w:lsdException w:name="List Bullet 2" w:uiPriority="0" w:qFormat="1"/>
    <w:lsdException w:name="List Bullet 3" w:semiHidden="0" w:uiPriority="2" w:unhideWhenUsed="0" w:qFormat="1"/>
    <w:lsdException w:name="List Number 2" w:uiPriority="0" w:qFormat="1"/>
    <w:lsdException w:name="Title" w:semiHidden="0" w:uiPriority="10" w:unhideWhenUsed="0" w:qFormat="1"/>
    <w:lsdException w:name="Default Paragraph Font" w:uiPriority="0"/>
    <w:lsdException w:name="Body Text" w:uiPriority="0"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6B1D"/>
    <w:pPr>
      <w:spacing w:before="120" w:after="120"/>
    </w:pPr>
    <w:rPr>
      <w:rFonts w:ascii="Calibri" w:hAnsi="Calibri" w:cs="Arial"/>
      <w:color w:val="2F2F2F"/>
      <w:sz w:val="20"/>
      <w:szCs w:val="20"/>
    </w:rPr>
  </w:style>
  <w:style w:type="paragraph" w:styleId="Heading1">
    <w:name w:val="heading 1"/>
    <w:basedOn w:val="Normal"/>
    <w:next w:val="Normal"/>
    <w:link w:val="Heading1Char"/>
    <w:qFormat/>
    <w:rsid w:val="004C0E99"/>
    <w:pPr>
      <w:keepNext/>
      <w:spacing w:before="300" w:after="100"/>
      <w:outlineLvl w:val="0"/>
    </w:pPr>
    <w:rPr>
      <w:rFonts w:eastAsiaTheme="majorEastAsia"/>
      <w:b/>
      <w:bCs/>
      <w:color w:val="25909F"/>
      <w:kern w:val="32"/>
      <w:sz w:val="28"/>
      <w:szCs w:val="32"/>
    </w:rPr>
  </w:style>
  <w:style w:type="paragraph" w:styleId="Heading2">
    <w:name w:val="heading 2"/>
    <w:basedOn w:val="Normal"/>
    <w:next w:val="Normal"/>
    <w:link w:val="Heading2Char"/>
    <w:qFormat/>
    <w:rsid w:val="004C0E99"/>
    <w:pPr>
      <w:keepNext/>
      <w:spacing w:before="100" w:after="100"/>
      <w:outlineLvl w:val="1"/>
    </w:pPr>
    <w:rPr>
      <w:rFonts w:eastAsiaTheme="majorEastAsia"/>
      <w:b/>
      <w:bCs/>
      <w:iCs/>
      <w:color w:val="25909F"/>
      <w:sz w:val="24"/>
      <w:szCs w:val="28"/>
    </w:rPr>
  </w:style>
  <w:style w:type="paragraph" w:styleId="Heading3">
    <w:name w:val="heading 3"/>
    <w:basedOn w:val="Normal"/>
    <w:next w:val="Normal"/>
    <w:link w:val="Heading3Char"/>
    <w:qFormat/>
    <w:rsid w:val="00EA515C"/>
    <w:pPr>
      <w:keepNext/>
      <w:spacing w:before="240" w:after="60"/>
      <w:outlineLvl w:val="2"/>
    </w:pPr>
    <w:rPr>
      <w:rFonts w:eastAsiaTheme="majorEastAsia"/>
      <w:b/>
      <w:bCs/>
      <w:color w:val="25909F"/>
      <w:szCs w:val="26"/>
    </w:rPr>
  </w:style>
  <w:style w:type="paragraph" w:styleId="Heading4">
    <w:name w:val="heading 4"/>
    <w:basedOn w:val="Normal"/>
    <w:next w:val="Normal"/>
    <w:link w:val="Heading4Char"/>
    <w:unhideWhenUsed/>
    <w:qFormat/>
    <w:rsid w:val="00EA515C"/>
    <w:pPr>
      <w:keepNext/>
      <w:keepLines/>
      <w:spacing w:before="200" w:after="0"/>
      <w:outlineLvl w:val="3"/>
    </w:pPr>
    <w:rPr>
      <w:rFonts w:asciiTheme="majorHAnsi" w:eastAsiaTheme="majorEastAsia" w:hAnsiTheme="majorHAnsi" w:cstheme="majorBidi"/>
      <w:b/>
      <w:bCs/>
      <w:i/>
      <w:iCs/>
      <w:color w:val="646464"/>
    </w:rPr>
  </w:style>
  <w:style w:type="paragraph" w:styleId="Heading5">
    <w:name w:val="heading 5"/>
    <w:basedOn w:val="Normal"/>
    <w:next w:val="Normal"/>
    <w:link w:val="Heading5Char"/>
    <w:semiHidden/>
    <w:unhideWhenUsed/>
    <w:qFormat/>
    <w:rsid w:val="00B82FE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D51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D51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D51A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B82FE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E99"/>
    <w:rPr>
      <w:rFonts w:ascii="Calibri" w:eastAsiaTheme="majorEastAsia" w:hAnsi="Calibri" w:cs="Arial"/>
      <w:b/>
      <w:bCs/>
      <w:color w:val="25909F"/>
      <w:kern w:val="32"/>
      <w:sz w:val="28"/>
      <w:szCs w:val="32"/>
    </w:rPr>
  </w:style>
  <w:style w:type="paragraph" w:styleId="Title">
    <w:name w:val="Title"/>
    <w:basedOn w:val="Normal"/>
    <w:next w:val="Normal"/>
    <w:link w:val="TitleChar"/>
    <w:uiPriority w:val="10"/>
    <w:qFormat/>
    <w:rsid w:val="00EA515C"/>
    <w:pPr>
      <w:spacing w:before="100" w:after="0"/>
    </w:pPr>
    <w:rPr>
      <w:rFonts w:ascii="Arial Bold" w:eastAsiaTheme="majorEastAsia" w:hAnsi="Arial Bold"/>
      <w:b/>
      <w:noProof/>
      <w:color w:val="646464"/>
      <w:sz w:val="44"/>
      <w:szCs w:val="44"/>
    </w:rPr>
  </w:style>
  <w:style w:type="character" w:customStyle="1" w:styleId="TitleChar">
    <w:name w:val="Title Char"/>
    <w:basedOn w:val="DefaultParagraphFont"/>
    <w:link w:val="Title"/>
    <w:uiPriority w:val="10"/>
    <w:rsid w:val="00EA515C"/>
    <w:rPr>
      <w:rFonts w:ascii="Arial Bold" w:eastAsiaTheme="majorEastAsia" w:hAnsi="Arial Bold" w:cs="Arial"/>
      <w:b/>
      <w:noProof/>
      <w:color w:val="646464"/>
      <w:sz w:val="44"/>
      <w:szCs w:val="44"/>
    </w:rPr>
  </w:style>
  <w:style w:type="paragraph" w:styleId="ListBullet">
    <w:name w:val="List Bullet"/>
    <w:basedOn w:val="Normal"/>
    <w:link w:val="ListBulletChar"/>
    <w:qFormat/>
    <w:rsid w:val="00EA515C"/>
    <w:pPr>
      <w:numPr>
        <w:numId w:val="12"/>
      </w:numPr>
    </w:pPr>
  </w:style>
  <w:style w:type="paragraph" w:styleId="ListBullet2">
    <w:name w:val="List Bullet 2"/>
    <w:basedOn w:val="Normal"/>
    <w:qFormat/>
    <w:rsid w:val="00EA515C"/>
    <w:pPr>
      <w:numPr>
        <w:ilvl w:val="1"/>
        <w:numId w:val="12"/>
      </w:numPr>
    </w:pPr>
  </w:style>
  <w:style w:type="paragraph" w:styleId="TOC1">
    <w:name w:val="toc 1"/>
    <w:basedOn w:val="Normal"/>
    <w:next w:val="Normal"/>
    <w:autoRedefine/>
    <w:uiPriority w:val="39"/>
    <w:qFormat/>
    <w:rsid w:val="00CB49F9"/>
    <w:pPr>
      <w:tabs>
        <w:tab w:val="left" w:pos="426"/>
        <w:tab w:val="left" w:pos="8789"/>
      </w:tabs>
    </w:pPr>
    <w:rPr>
      <w:szCs w:val="21"/>
    </w:rPr>
  </w:style>
  <w:style w:type="character" w:customStyle="1" w:styleId="Heading2Char">
    <w:name w:val="Heading 2 Char"/>
    <w:basedOn w:val="DefaultParagraphFont"/>
    <w:link w:val="Heading2"/>
    <w:rsid w:val="004C0E99"/>
    <w:rPr>
      <w:rFonts w:ascii="Calibri" w:eastAsiaTheme="majorEastAsia" w:hAnsi="Calibri" w:cs="Arial"/>
      <w:b/>
      <w:bCs/>
      <w:iCs/>
      <w:color w:val="25909F"/>
      <w:sz w:val="24"/>
      <w:szCs w:val="28"/>
    </w:rPr>
  </w:style>
  <w:style w:type="character" w:customStyle="1" w:styleId="Heading3Char">
    <w:name w:val="Heading 3 Char"/>
    <w:basedOn w:val="DefaultParagraphFont"/>
    <w:link w:val="Heading3"/>
    <w:rsid w:val="00EA515C"/>
    <w:rPr>
      <w:rFonts w:ascii="Arial" w:eastAsiaTheme="majorEastAsia" w:hAnsi="Arial" w:cs="Arial"/>
      <w:b/>
      <w:bCs/>
      <w:color w:val="25909F"/>
      <w:sz w:val="20"/>
      <w:szCs w:val="26"/>
    </w:rPr>
  </w:style>
  <w:style w:type="character" w:customStyle="1" w:styleId="Heading4Char">
    <w:name w:val="Heading 4 Char"/>
    <w:basedOn w:val="DefaultParagraphFont"/>
    <w:link w:val="Heading4"/>
    <w:rsid w:val="00EA515C"/>
    <w:rPr>
      <w:rFonts w:asciiTheme="majorHAnsi" w:eastAsiaTheme="majorEastAsia" w:hAnsiTheme="majorHAnsi" w:cstheme="majorBidi"/>
      <w:b/>
      <w:bCs/>
      <w:i/>
      <w:iCs/>
      <w:color w:val="646464"/>
      <w:sz w:val="20"/>
      <w:szCs w:val="20"/>
    </w:rPr>
  </w:style>
  <w:style w:type="character" w:customStyle="1" w:styleId="Heading5Char">
    <w:name w:val="Heading 5 Char"/>
    <w:basedOn w:val="DefaultParagraphFont"/>
    <w:link w:val="Heading5"/>
    <w:semiHidden/>
    <w:rsid w:val="00B82FE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semiHidden/>
    <w:rsid w:val="003D51A0"/>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semiHidden/>
    <w:rsid w:val="003D51A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semiHidden/>
    <w:rsid w:val="003D51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B82FEB"/>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3D51A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3D51A0"/>
    <w:rPr>
      <w:rFonts w:asciiTheme="majorHAnsi" w:eastAsiaTheme="majorEastAsia" w:hAnsiTheme="majorHAnsi" w:cstheme="majorBidi"/>
      <w:bCs/>
      <w:i/>
      <w:iCs/>
      <w:color w:val="4F81BD" w:themeColor="accent1"/>
      <w:spacing w:val="15"/>
      <w:sz w:val="24"/>
      <w:szCs w:val="24"/>
    </w:rPr>
  </w:style>
  <w:style w:type="character" w:styleId="Strong">
    <w:name w:val="Strong"/>
    <w:uiPriority w:val="22"/>
    <w:rsid w:val="003D51A0"/>
    <w:rPr>
      <w:b/>
      <w:bCs/>
    </w:rPr>
  </w:style>
  <w:style w:type="character" w:styleId="Emphasis">
    <w:name w:val="Emphasis"/>
    <w:basedOn w:val="DefaultParagraphFont"/>
    <w:uiPriority w:val="20"/>
    <w:rsid w:val="003D51A0"/>
    <w:rPr>
      <w:i/>
      <w:iCs/>
    </w:rPr>
  </w:style>
  <w:style w:type="paragraph" w:styleId="NoSpacing">
    <w:name w:val="No Spacing"/>
    <w:basedOn w:val="Normal"/>
    <w:link w:val="NoSpacingChar"/>
    <w:uiPriority w:val="1"/>
    <w:rsid w:val="00B82FEB"/>
  </w:style>
  <w:style w:type="character" w:customStyle="1" w:styleId="NoSpacingChar">
    <w:name w:val="No Spacing Char"/>
    <w:basedOn w:val="DefaultParagraphFont"/>
    <w:link w:val="NoSpacing"/>
    <w:uiPriority w:val="1"/>
    <w:rsid w:val="003D51A0"/>
    <w:rPr>
      <w:rFonts w:ascii="Arial" w:hAnsi="Arial" w:cs="Arial"/>
      <w:bCs/>
      <w:sz w:val="20"/>
      <w:szCs w:val="24"/>
    </w:rPr>
  </w:style>
  <w:style w:type="paragraph" w:styleId="ListParagraph">
    <w:name w:val="List Paragraph"/>
    <w:basedOn w:val="Normal"/>
    <w:uiPriority w:val="34"/>
    <w:rsid w:val="00B82FEB"/>
    <w:pPr>
      <w:numPr>
        <w:numId w:val="7"/>
      </w:numPr>
      <w:tabs>
        <w:tab w:val="left" w:pos="284"/>
        <w:tab w:val="left" w:pos="851"/>
        <w:tab w:val="left" w:pos="1134"/>
        <w:tab w:val="left" w:pos="1418"/>
      </w:tabs>
    </w:pPr>
    <w:rPr>
      <w:lang w:eastAsia="en-AU"/>
    </w:rPr>
  </w:style>
  <w:style w:type="paragraph" w:styleId="Quote">
    <w:name w:val="Quote"/>
    <w:basedOn w:val="Normal"/>
    <w:next w:val="Normal"/>
    <w:link w:val="QuoteChar"/>
    <w:uiPriority w:val="29"/>
    <w:rsid w:val="003D51A0"/>
    <w:rPr>
      <w:i/>
      <w:iCs/>
      <w:color w:val="000000" w:themeColor="text1"/>
    </w:rPr>
  </w:style>
  <w:style w:type="character" w:customStyle="1" w:styleId="QuoteChar">
    <w:name w:val="Quote Char"/>
    <w:basedOn w:val="DefaultParagraphFont"/>
    <w:link w:val="Quote"/>
    <w:uiPriority w:val="29"/>
    <w:rsid w:val="003D51A0"/>
    <w:rPr>
      <w:rFonts w:ascii="Arial" w:hAnsi="Arial" w:cs="Arial"/>
      <w:bCs/>
      <w:i/>
      <w:iCs/>
      <w:color w:val="000000" w:themeColor="text1"/>
      <w:sz w:val="20"/>
      <w:szCs w:val="24"/>
    </w:rPr>
  </w:style>
  <w:style w:type="paragraph" w:styleId="IntenseQuote">
    <w:name w:val="Intense Quote"/>
    <w:basedOn w:val="Normal"/>
    <w:next w:val="Normal"/>
    <w:link w:val="IntenseQuoteChar"/>
    <w:uiPriority w:val="30"/>
    <w:rsid w:val="003D51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51A0"/>
    <w:rPr>
      <w:rFonts w:ascii="Arial" w:hAnsi="Arial" w:cs="Arial"/>
      <w:b/>
      <w:i/>
      <w:iCs/>
      <w:color w:val="4F81BD" w:themeColor="accent1"/>
      <w:sz w:val="20"/>
      <w:szCs w:val="24"/>
    </w:rPr>
  </w:style>
  <w:style w:type="character" w:styleId="SubtleEmphasis">
    <w:name w:val="Subtle Emphasis"/>
    <w:basedOn w:val="DefaultParagraphFont"/>
    <w:uiPriority w:val="19"/>
    <w:rsid w:val="003D51A0"/>
    <w:rPr>
      <w:i/>
      <w:iCs/>
      <w:color w:val="808080" w:themeColor="text1" w:themeTint="7F"/>
    </w:rPr>
  </w:style>
  <w:style w:type="character" w:styleId="IntenseEmphasis">
    <w:name w:val="Intense Emphasis"/>
    <w:uiPriority w:val="21"/>
    <w:rsid w:val="003D51A0"/>
    <w:rPr>
      <w:b/>
      <w:bCs/>
      <w:i/>
      <w:iCs/>
      <w:color w:val="4F81BD" w:themeColor="accent1"/>
    </w:rPr>
  </w:style>
  <w:style w:type="character" w:styleId="SubtleReference">
    <w:name w:val="Subtle Reference"/>
    <w:basedOn w:val="DefaultParagraphFont"/>
    <w:uiPriority w:val="31"/>
    <w:rsid w:val="003D51A0"/>
    <w:rPr>
      <w:smallCaps/>
      <w:color w:val="C0504D" w:themeColor="accent2"/>
      <w:u w:val="single"/>
    </w:rPr>
  </w:style>
  <w:style w:type="character" w:styleId="IntenseReference">
    <w:name w:val="Intense Reference"/>
    <w:basedOn w:val="DefaultParagraphFont"/>
    <w:uiPriority w:val="32"/>
    <w:rsid w:val="003D51A0"/>
    <w:rPr>
      <w:b/>
      <w:bCs/>
      <w:smallCaps/>
      <w:color w:val="C0504D" w:themeColor="accent2"/>
      <w:spacing w:val="5"/>
      <w:u w:val="single"/>
    </w:rPr>
  </w:style>
  <w:style w:type="character" w:styleId="BookTitle">
    <w:name w:val="Book Title"/>
    <w:basedOn w:val="DefaultParagraphFont"/>
    <w:uiPriority w:val="33"/>
    <w:rsid w:val="003D51A0"/>
    <w:rPr>
      <w:b/>
      <w:bCs/>
      <w:smallCaps/>
      <w:spacing w:val="5"/>
    </w:rPr>
  </w:style>
  <w:style w:type="paragraph" w:styleId="TOCHeading">
    <w:name w:val="TOC Heading"/>
    <w:basedOn w:val="Heading1"/>
    <w:next w:val="Normal"/>
    <w:uiPriority w:val="39"/>
    <w:semiHidden/>
    <w:unhideWhenUsed/>
    <w:qFormat/>
    <w:rsid w:val="003D51A0"/>
    <w:pPr>
      <w:keepLines/>
      <w:spacing w:before="480" w:after="0"/>
      <w:outlineLvl w:val="9"/>
    </w:pPr>
    <w:rPr>
      <w:rFonts w:asciiTheme="majorHAnsi" w:hAnsiTheme="majorHAnsi" w:cstheme="majorBidi"/>
      <w:color w:val="365F91" w:themeColor="accent1" w:themeShade="BF"/>
      <w:kern w:val="0"/>
      <w:szCs w:val="28"/>
    </w:rPr>
  </w:style>
  <w:style w:type="paragraph" w:styleId="Caption">
    <w:name w:val="caption"/>
    <w:basedOn w:val="Normal"/>
    <w:next w:val="Normal"/>
    <w:semiHidden/>
    <w:unhideWhenUsed/>
    <w:qFormat/>
    <w:rsid w:val="003D51A0"/>
    <w:pPr>
      <w:spacing w:before="0" w:after="200" w:line="240" w:lineRule="auto"/>
    </w:pPr>
    <w:rPr>
      <w:b/>
      <w:bCs/>
      <w:color w:val="4F81BD" w:themeColor="accent1"/>
      <w:sz w:val="18"/>
      <w:szCs w:val="18"/>
    </w:rPr>
  </w:style>
  <w:style w:type="table" w:styleId="TableGrid">
    <w:name w:val="Table Grid"/>
    <w:basedOn w:val="TableNormal"/>
    <w:uiPriority w:val="59"/>
    <w:rsid w:val="003D51A0"/>
    <w:pPr>
      <w:spacing w:line="240" w:lineRule="auto"/>
    </w:pPr>
    <w:rPr>
      <w:sz w:val="19"/>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style>
  <w:style w:type="paragraph" w:customStyle="1" w:styleId="TinyTot">
    <w:name w:val="Tiny Tot"/>
    <w:basedOn w:val="Normal"/>
    <w:rsid w:val="003D51A0"/>
    <w:pPr>
      <w:spacing w:after="0" w:line="240" w:lineRule="auto"/>
    </w:pPr>
    <w:rPr>
      <w:sz w:val="4"/>
      <w:szCs w:val="4"/>
      <w:lang w:eastAsia="en-AU"/>
    </w:rPr>
  </w:style>
  <w:style w:type="paragraph" w:styleId="ListBullet3">
    <w:name w:val="List Bullet 3"/>
    <w:basedOn w:val="Normal"/>
    <w:uiPriority w:val="2"/>
    <w:rsid w:val="003D51A0"/>
    <w:pPr>
      <w:numPr>
        <w:ilvl w:val="2"/>
        <w:numId w:val="12"/>
      </w:numPr>
    </w:pPr>
  </w:style>
  <w:style w:type="paragraph" w:styleId="Footer">
    <w:name w:val="footer"/>
    <w:basedOn w:val="Normal"/>
    <w:link w:val="FooterChar"/>
    <w:uiPriority w:val="99"/>
    <w:rsid w:val="009122C5"/>
    <w:pPr>
      <w:tabs>
        <w:tab w:val="center" w:pos="4513"/>
        <w:tab w:val="right" w:pos="9026"/>
      </w:tabs>
      <w:spacing w:after="0" w:line="240" w:lineRule="auto"/>
    </w:pPr>
    <w:rPr>
      <w:rFonts w:cs="Times New Roman"/>
      <w:sz w:val="17"/>
    </w:rPr>
  </w:style>
  <w:style w:type="character" w:customStyle="1" w:styleId="FooterChar">
    <w:name w:val="Footer Char"/>
    <w:basedOn w:val="DefaultParagraphFont"/>
    <w:link w:val="Footer"/>
    <w:uiPriority w:val="99"/>
    <w:rsid w:val="009122C5"/>
    <w:rPr>
      <w:rFonts w:eastAsia="Times New Roman" w:cs="Times New Roman"/>
      <w:sz w:val="17"/>
      <w:szCs w:val="20"/>
    </w:rPr>
  </w:style>
  <w:style w:type="character" w:styleId="Hyperlink">
    <w:name w:val="Hyperlink"/>
    <w:basedOn w:val="DefaultParagraphFont"/>
    <w:uiPriority w:val="99"/>
    <w:qFormat/>
    <w:rsid w:val="004C0E99"/>
    <w:rPr>
      <w:rFonts w:ascii="Calibri" w:hAnsi="Calibri"/>
      <w:color w:val="0000FF"/>
      <w:sz w:val="20"/>
      <w:u w:val="single"/>
    </w:rPr>
  </w:style>
  <w:style w:type="character" w:customStyle="1" w:styleId="ListBulletChar">
    <w:name w:val="List Bullet Char"/>
    <w:link w:val="ListBullet"/>
    <w:rsid w:val="009122C5"/>
    <w:rPr>
      <w:rFonts w:ascii="Arial" w:hAnsi="Arial" w:cs="Arial"/>
      <w:color w:val="2F2F2F"/>
      <w:sz w:val="20"/>
      <w:szCs w:val="20"/>
    </w:rPr>
  </w:style>
  <w:style w:type="paragraph" w:styleId="FootnoteText">
    <w:name w:val="footnote text"/>
    <w:basedOn w:val="Normal"/>
    <w:link w:val="FootnoteTextChar"/>
    <w:uiPriority w:val="5"/>
    <w:rsid w:val="003D51A0"/>
    <w:pPr>
      <w:tabs>
        <w:tab w:val="left" w:pos="284"/>
      </w:tabs>
      <w:spacing w:after="0" w:line="240" w:lineRule="auto"/>
      <w:ind w:left="284" w:hanging="284"/>
    </w:pPr>
    <w:rPr>
      <w:color w:val="808080" w:themeColor="background1" w:themeShade="80"/>
      <w:sz w:val="18"/>
    </w:rPr>
  </w:style>
  <w:style w:type="character" w:customStyle="1" w:styleId="FootnoteTextChar">
    <w:name w:val="Footnote Text Char"/>
    <w:basedOn w:val="DefaultParagraphFont"/>
    <w:link w:val="FootnoteText"/>
    <w:uiPriority w:val="5"/>
    <w:rsid w:val="003D51A0"/>
    <w:rPr>
      <w:color w:val="808080" w:themeColor="background1" w:themeShade="80"/>
      <w:sz w:val="18"/>
      <w:szCs w:val="20"/>
    </w:rPr>
  </w:style>
  <w:style w:type="paragraph" w:styleId="Header">
    <w:name w:val="header"/>
    <w:basedOn w:val="Normal"/>
    <w:link w:val="HeaderChar"/>
    <w:uiPriority w:val="4"/>
    <w:rsid w:val="003D51A0"/>
    <w:pPr>
      <w:tabs>
        <w:tab w:val="center" w:pos="4513"/>
        <w:tab w:val="right" w:pos="9026"/>
      </w:tabs>
      <w:spacing w:after="0" w:line="240" w:lineRule="auto"/>
    </w:pPr>
  </w:style>
  <w:style w:type="character" w:customStyle="1" w:styleId="HeaderChar">
    <w:name w:val="Header Char"/>
    <w:basedOn w:val="DefaultParagraphFont"/>
    <w:link w:val="Header"/>
    <w:uiPriority w:val="4"/>
    <w:rsid w:val="003D51A0"/>
    <w:rPr>
      <w:sz w:val="19"/>
    </w:rPr>
  </w:style>
  <w:style w:type="character" w:styleId="FootnoteReference">
    <w:name w:val="footnote reference"/>
    <w:basedOn w:val="DefaultParagraphFont"/>
    <w:uiPriority w:val="6"/>
    <w:rsid w:val="003D51A0"/>
    <w:rPr>
      <w:vertAlign w:val="superscript"/>
    </w:rPr>
  </w:style>
  <w:style w:type="paragraph" w:styleId="BalloonText">
    <w:name w:val="Balloon Text"/>
    <w:basedOn w:val="Normal"/>
    <w:link w:val="BalloonTextChar"/>
    <w:uiPriority w:val="99"/>
    <w:semiHidden/>
    <w:unhideWhenUsed/>
    <w:rsid w:val="003D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1A0"/>
    <w:rPr>
      <w:rFonts w:ascii="Tahoma" w:hAnsi="Tahoma" w:cs="Tahoma"/>
      <w:sz w:val="16"/>
      <w:szCs w:val="16"/>
    </w:rPr>
  </w:style>
  <w:style w:type="paragraph" w:customStyle="1" w:styleId="Banner">
    <w:name w:val="Banner"/>
    <w:basedOn w:val="Title"/>
    <w:uiPriority w:val="4"/>
    <w:rsid w:val="00207AB4"/>
    <w:pPr>
      <w:shd w:val="clear" w:color="auto" w:fill="4F81BD" w:themeFill="accent1"/>
      <w:spacing w:before="300"/>
      <w:outlineLvl w:val="0"/>
    </w:pPr>
    <w:rPr>
      <w:rFonts w:cs="Times New Roman"/>
      <w:b w:val="0"/>
      <w:bCs/>
      <w:color w:val="FFFFFF" w:themeColor="background1"/>
    </w:rPr>
  </w:style>
  <w:style w:type="paragraph" w:customStyle="1" w:styleId="AlphaNumbering">
    <w:name w:val="Alpha Numbering"/>
    <w:basedOn w:val="Normal"/>
    <w:uiPriority w:val="3"/>
    <w:rsid w:val="003D51A0"/>
    <w:pPr>
      <w:numPr>
        <w:numId w:val="5"/>
      </w:numPr>
      <w:tabs>
        <w:tab w:val="left" w:pos="284"/>
        <w:tab w:val="left" w:pos="851"/>
      </w:tabs>
    </w:pPr>
    <w:rPr>
      <w:rFonts w:cs="Times New Roman"/>
      <w:color w:val="1C1C1C"/>
      <w:szCs w:val="18"/>
      <w:lang w:eastAsia="en-AU"/>
    </w:rPr>
  </w:style>
  <w:style w:type="paragraph" w:styleId="BodyText">
    <w:name w:val="Body Text"/>
    <w:basedOn w:val="Normal"/>
    <w:link w:val="BodyTextChar"/>
    <w:qFormat/>
    <w:rsid w:val="00EA515C"/>
    <w:pPr>
      <w:spacing w:before="180" w:after="180"/>
    </w:pPr>
  </w:style>
  <w:style w:type="character" w:customStyle="1" w:styleId="BodyTextChar">
    <w:name w:val="Body Text Char"/>
    <w:basedOn w:val="DefaultParagraphFont"/>
    <w:link w:val="BodyText"/>
    <w:rsid w:val="003D51A0"/>
    <w:rPr>
      <w:rFonts w:ascii="Arial" w:hAnsi="Arial" w:cs="Arial"/>
      <w:color w:val="2F2F2F"/>
      <w:sz w:val="20"/>
      <w:szCs w:val="20"/>
    </w:rPr>
  </w:style>
  <w:style w:type="paragraph" w:customStyle="1" w:styleId="Indent-hanging1cmpolicyprinciples">
    <w:name w:val="Indent - hanging 1 cm (policy principles)"/>
    <w:basedOn w:val="Normal"/>
    <w:rsid w:val="00995988"/>
    <w:pPr>
      <w:ind w:left="567" w:hanging="567"/>
    </w:pPr>
    <w:rPr>
      <w:rFonts w:eastAsiaTheme="majorEastAsia" w:cs="Times New Roman"/>
      <w:sz w:val="18"/>
      <w:szCs w:val="18"/>
      <w:lang w:eastAsia="en-AU"/>
    </w:rPr>
  </w:style>
  <w:style w:type="paragraph" w:customStyle="1" w:styleId="i-hanging05cmpolicyprinciples">
    <w:name w:val="i - hanging 0.5 cm (policy principles)"/>
    <w:basedOn w:val="Indent-hanging1cmpolicyprinciples"/>
    <w:rsid w:val="00995988"/>
    <w:pPr>
      <w:tabs>
        <w:tab w:val="left" w:pos="284"/>
      </w:tabs>
    </w:pPr>
  </w:style>
  <w:style w:type="paragraph" w:customStyle="1" w:styleId="Indent-05cmPOLICY">
    <w:name w:val="Indent - 0.5 cm (POLICY)"/>
    <w:basedOn w:val="Normal"/>
    <w:rsid w:val="00D25E35"/>
    <w:rPr>
      <w:rFonts w:eastAsiaTheme="majorEastAsia" w:cs="Times New Roman"/>
      <w:color w:val="1C1C1C"/>
      <w:sz w:val="18"/>
      <w:szCs w:val="18"/>
      <w:lang w:eastAsia="en-AU"/>
    </w:rPr>
  </w:style>
  <w:style w:type="paragraph" w:customStyle="1" w:styleId="Indent-05hangingPM">
    <w:name w:val="Indent - 0.5 hanging (PM)"/>
    <w:basedOn w:val="Normal"/>
    <w:rsid w:val="00F81E06"/>
    <w:pPr>
      <w:tabs>
        <w:tab w:val="left" w:pos="284"/>
      </w:tabs>
      <w:ind w:left="284" w:hanging="284"/>
    </w:pPr>
    <w:rPr>
      <w:rFonts w:eastAsiaTheme="majorEastAsia" w:cs="Times New Roman"/>
      <w:color w:val="1C1C1C"/>
      <w:sz w:val="18"/>
      <w:szCs w:val="18"/>
      <w:lang w:eastAsia="en-AU"/>
    </w:rPr>
  </w:style>
  <w:style w:type="paragraph" w:customStyle="1" w:styleId="IN-1">
    <w:name w:val="IN-1"/>
    <w:basedOn w:val="Normal"/>
    <w:uiPriority w:val="1"/>
    <w:rsid w:val="003D51A0"/>
    <w:pPr>
      <w:ind w:left="567" w:hanging="567"/>
    </w:pPr>
    <w:rPr>
      <w:rFonts w:eastAsiaTheme="majorEastAsia" w:cs="Times New Roman"/>
      <w:sz w:val="18"/>
      <w:szCs w:val="18"/>
      <w:lang w:eastAsia="en-AU"/>
    </w:rPr>
  </w:style>
  <w:style w:type="paragraph" w:customStyle="1" w:styleId="in-05">
    <w:name w:val="in-0.5"/>
    <w:basedOn w:val="IN-1"/>
    <w:uiPriority w:val="1"/>
    <w:rsid w:val="003D51A0"/>
    <w:pPr>
      <w:tabs>
        <w:tab w:val="left" w:pos="284"/>
      </w:tabs>
    </w:pPr>
  </w:style>
  <w:style w:type="paragraph" w:customStyle="1" w:styleId="INhang-05">
    <w:name w:val="INhang-0.5"/>
    <w:basedOn w:val="Normal"/>
    <w:uiPriority w:val="1"/>
    <w:rsid w:val="003D51A0"/>
    <w:rPr>
      <w:rFonts w:eastAsiaTheme="majorEastAsia" w:cs="Times New Roman"/>
      <w:color w:val="1C1C1C"/>
      <w:sz w:val="18"/>
      <w:szCs w:val="18"/>
      <w:lang w:eastAsia="en-AU"/>
    </w:rPr>
  </w:style>
  <w:style w:type="paragraph" w:customStyle="1" w:styleId="IN-050">
    <w:name w:val="IN-0.5"/>
    <w:basedOn w:val="Normal"/>
    <w:uiPriority w:val="1"/>
    <w:rsid w:val="003D51A0"/>
    <w:pPr>
      <w:tabs>
        <w:tab w:val="left" w:pos="284"/>
      </w:tabs>
      <w:ind w:left="284" w:hanging="284"/>
    </w:pPr>
    <w:rPr>
      <w:rFonts w:eastAsiaTheme="majorEastAsia" w:cs="Times New Roman"/>
      <w:color w:val="1C1C1C"/>
      <w:sz w:val="18"/>
      <w:szCs w:val="18"/>
      <w:lang w:eastAsia="en-AU"/>
    </w:rPr>
  </w:style>
  <w:style w:type="paragraph" w:styleId="EndnoteText">
    <w:name w:val="endnote text"/>
    <w:basedOn w:val="Normal"/>
    <w:link w:val="EndnoteTextChar"/>
    <w:uiPriority w:val="5"/>
    <w:rsid w:val="003D51A0"/>
    <w:pPr>
      <w:spacing w:after="0" w:line="240" w:lineRule="auto"/>
    </w:pPr>
    <w:rPr>
      <w:color w:val="808080" w:themeColor="background1" w:themeShade="80"/>
    </w:rPr>
  </w:style>
  <w:style w:type="character" w:customStyle="1" w:styleId="EndnoteTextChar">
    <w:name w:val="Endnote Text Char"/>
    <w:basedOn w:val="DefaultParagraphFont"/>
    <w:link w:val="EndnoteText"/>
    <w:uiPriority w:val="5"/>
    <w:rsid w:val="003D51A0"/>
    <w:rPr>
      <w:color w:val="808080" w:themeColor="background1" w:themeShade="80"/>
      <w:sz w:val="20"/>
      <w:szCs w:val="20"/>
    </w:rPr>
  </w:style>
  <w:style w:type="paragraph" w:customStyle="1" w:styleId="Blueboldnormal">
    <w:name w:val="Blue bold normal"/>
    <w:basedOn w:val="Normal"/>
    <w:rsid w:val="003D51A0"/>
    <w:rPr>
      <w:b/>
      <w:color w:val="4F81BD" w:themeColor="accent1"/>
    </w:rPr>
  </w:style>
  <w:style w:type="paragraph" w:styleId="List">
    <w:name w:val="List"/>
    <w:basedOn w:val="Normal"/>
    <w:uiPriority w:val="2"/>
    <w:rsid w:val="003D51A0"/>
    <w:pPr>
      <w:ind w:left="283" w:hanging="283"/>
      <w:contextualSpacing/>
    </w:pPr>
  </w:style>
  <w:style w:type="character" w:customStyle="1" w:styleId="Emphasis-Italics">
    <w:name w:val="Emphasis - Italics"/>
    <w:rsid w:val="00B82FEB"/>
    <w:rPr>
      <w:i/>
    </w:rPr>
  </w:style>
  <w:style w:type="character" w:customStyle="1" w:styleId="Emphasis-Bold">
    <w:name w:val="Emphasis - Bold"/>
    <w:rsid w:val="00B82FEB"/>
    <w:rPr>
      <w:rFonts w:ascii="Arial" w:hAnsi="Arial" w:cs="Arial"/>
      <w:b/>
      <w:color w:val="000000"/>
    </w:rPr>
  </w:style>
  <w:style w:type="paragraph" w:customStyle="1" w:styleId="Bullet1">
    <w:name w:val="Bullet 1"/>
    <w:basedOn w:val="Normal"/>
    <w:rsid w:val="00B82FEB"/>
    <w:pPr>
      <w:tabs>
        <w:tab w:val="num" w:pos="1077"/>
      </w:tabs>
      <w:spacing w:before="80" w:after="80" w:line="240" w:lineRule="auto"/>
      <w:ind w:left="1077" w:hanging="283"/>
    </w:pPr>
    <w:rPr>
      <w:rFonts w:cs="Calibri"/>
      <w:bCs/>
      <w:sz w:val="22"/>
      <w:lang w:eastAsia="en-AU"/>
    </w:rPr>
  </w:style>
  <w:style w:type="paragraph" w:customStyle="1" w:styleId="DEPIBullet">
    <w:name w:val="DEPI_Bullet"/>
    <w:link w:val="DEPIBulletChar"/>
    <w:rsid w:val="00B82FEB"/>
    <w:pPr>
      <w:tabs>
        <w:tab w:val="num" w:pos="284"/>
      </w:tabs>
      <w:spacing w:before="60" w:after="60" w:line="260" w:lineRule="atLeast"/>
      <w:ind w:left="284" w:hanging="284"/>
    </w:pPr>
    <w:rPr>
      <w:rFonts w:ascii="Arial" w:hAnsi="Arial" w:cs="Arial"/>
      <w:szCs w:val="24"/>
    </w:rPr>
  </w:style>
  <w:style w:type="character" w:customStyle="1" w:styleId="DEPIBulletChar">
    <w:name w:val="DEPI_Bullet Char"/>
    <w:basedOn w:val="DefaultParagraphFont"/>
    <w:link w:val="DEPIBullet"/>
    <w:rsid w:val="00B82FEB"/>
    <w:rPr>
      <w:rFonts w:ascii="Arial" w:eastAsia="Times New Roman" w:hAnsi="Arial" w:cs="Arial"/>
      <w:sz w:val="18"/>
      <w:szCs w:val="24"/>
    </w:rPr>
  </w:style>
  <w:style w:type="paragraph" w:styleId="ListNumber">
    <w:name w:val="List Number"/>
    <w:basedOn w:val="Normal"/>
    <w:qFormat/>
    <w:rsid w:val="00EA515C"/>
    <w:pPr>
      <w:numPr>
        <w:numId w:val="14"/>
      </w:numPr>
    </w:pPr>
    <w:rPr>
      <w:b/>
      <w:color w:val="F68F35"/>
    </w:rPr>
  </w:style>
  <w:style w:type="paragraph" w:styleId="ListNumber2">
    <w:name w:val="List Number 2"/>
    <w:basedOn w:val="Normal"/>
    <w:qFormat/>
    <w:rsid w:val="00EA515C"/>
    <w:pPr>
      <w:numPr>
        <w:ilvl w:val="1"/>
        <w:numId w:val="14"/>
      </w:numPr>
    </w:pPr>
  </w:style>
  <w:style w:type="character" w:styleId="FollowedHyperlink">
    <w:name w:val="FollowedHyperlink"/>
    <w:basedOn w:val="DefaultParagraphFont"/>
    <w:uiPriority w:val="99"/>
    <w:semiHidden/>
    <w:unhideWhenUsed/>
    <w:rsid w:val="002559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themeColor="text1"/>
        <w:sz w:val="18"/>
        <w:szCs w:val="18"/>
        <w:lang w:val="en-AU"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semiHidden="0" w:uiPriority="7"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4"/>
    <w:lsdException w:name="caption" w:uiPriority="0" w:qFormat="1"/>
    <w:lsdException w:name="footnote reference" w:uiPriority="6"/>
    <w:lsdException w:name="endnote reference" w:semiHidden="0" w:uiPriority="6" w:unhideWhenUsed="0"/>
    <w:lsdException w:name="endnote text" w:semiHidden="0" w:uiPriority="5" w:unhideWhenUsed="0"/>
    <w:lsdException w:name="List" w:semiHidden="0" w:uiPriority="2" w:unhideWhenUsed="0"/>
    <w:lsdException w:name="List Bullet" w:uiPriority="0" w:qFormat="1"/>
    <w:lsdException w:name="List Number" w:uiPriority="0" w:qFormat="1"/>
    <w:lsdException w:name="List Bullet 2" w:uiPriority="0" w:qFormat="1"/>
    <w:lsdException w:name="List Bullet 3" w:semiHidden="0" w:uiPriority="2" w:unhideWhenUsed="0" w:qFormat="1"/>
    <w:lsdException w:name="List Number 2" w:uiPriority="0" w:qFormat="1"/>
    <w:lsdException w:name="Title" w:semiHidden="0" w:uiPriority="10" w:unhideWhenUsed="0" w:qFormat="1"/>
    <w:lsdException w:name="Default Paragraph Font" w:uiPriority="0"/>
    <w:lsdException w:name="Body Text" w:uiPriority="0"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6B1D"/>
    <w:pPr>
      <w:spacing w:before="120" w:after="120"/>
    </w:pPr>
    <w:rPr>
      <w:rFonts w:ascii="Calibri" w:hAnsi="Calibri" w:cs="Arial"/>
      <w:color w:val="2F2F2F"/>
      <w:sz w:val="20"/>
      <w:szCs w:val="20"/>
    </w:rPr>
  </w:style>
  <w:style w:type="paragraph" w:styleId="Heading1">
    <w:name w:val="heading 1"/>
    <w:basedOn w:val="Normal"/>
    <w:next w:val="Normal"/>
    <w:link w:val="Heading1Char"/>
    <w:qFormat/>
    <w:rsid w:val="004C0E99"/>
    <w:pPr>
      <w:keepNext/>
      <w:spacing w:before="300" w:after="100"/>
      <w:outlineLvl w:val="0"/>
    </w:pPr>
    <w:rPr>
      <w:rFonts w:eastAsiaTheme="majorEastAsia"/>
      <w:b/>
      <w:bCs/>
      <w:color w:val="25909F"/>
      <w:kern w:val="32"/>
      <w:sz w:val="28"/>
      <w:szCs w:val="32"/>
    </w:rPr>
  </w:style>
  <w:style w:type="paragraph" w:styleId="Heading2">
    <w:name w:val="heading 2"/>
    <w:basedOn w:val="Normal"/>
    <w:next w:val="Normal"/>
    <w:link w:val="Heading2Char"/>
    <w:qFormat/>
    <w:rsid w:val="004C0E99"/>
    <w:pPr>
      <w:keepNext/>
      <w:spacing w:before="100" w:after="100"/>
      <w:outlineLvl w:val="1"/>
    </w:pPr>
    <w:rPr>
      <w:rFonts w:eastAsiaTheme="majorEastAsia"/>
      <w:b/>
      <w:bCs/>
      <w:iCs/>
      <w:color w:val="25909F"/>
      <w:sz w:val="24"/>
      <w:szCs w:val="28"/>
    </w:rPr>
  </w:style>
  <w:style w:type="paragraph" w:styleId="Heading3">
    <w:name w:val="heading 3"/>
    <w:basedOn w:val="Normal"/>
    <w:next w:val="Normal"/>
    <w:link w:val="Heading3Char"/>
    <w:qFormat/>
    <w:rsid w:val="00EA515C"/>
    <w:pPr>
      <w:keepNext/>
      <w:spacing w:before="240" w:after="60"/>
      <w:outlineLvl w:val="2"/>
    </w:pPr>
    <w:rPr>
      <w:rFonts w:eastAsiaTheme="majorEastAsia"/>
      <w:b/>
      <w:bCs/>
      <w:color w:val="25909F"/>
      <w:szCs w:val="26"/>
    </w:rPr>
  </w:style>
  <w:style w:type="paragraph" w:styleId="Heading4">
    <w:name w:val="heading 4"/>
    <w:basedOn w:val="Normal"/>
    <w:next w:val="Normal"/>
    <w:link w:val="Heading4Char"/>
    <w:unhideWhenUsed/>
    <w:qFormat/>
    <w:rsid w:val="00EA515C"/>
    <w:pPr>
      <w:keepNext/>
      <w:keepLines/>
      <w:spacing w:before="200" w:after="0"/>
      <w:outlineLvl w:val="3"/>
    </w:pPr>
    <w:rPr>
      <w:rFonts w:asciiTheme="majorHAnsi" w:eastAsiaTheme="majorEastAsia" w:hAnsiTheme="majorHAnsi" w:cstheme="majorBidi"/>
      <w:b/>
      <w:bCs/>
      <w:i/>
      <w:iCs/>
      <w:color w:val="646464"/>
    </w:rPr>
  </w:style>
  <w:style w:type="paragraph" w:styleId="Heading5">
    <w:name w:val="heading 5"/>
    <w:basedOn w:val="Normal"/>
    <w:next w:val="Normal"/>
    <w:link w:val="Heading5Char"/>
    <w:semiHidden/>
    <w:unhideWhenUsed/>
    <w:qFormat/>
    <w:rsid w:val="00B82FE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D51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D51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D51A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B82FE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E99"/>
    <w:rPr>
      <w:rFonts w:ascii="Calibri" w:eastAsiaTheme="majorEastAsia" w:hAnsi="Calibri" w:cs="Arial"/>
      <w:b/>
      <w:bCs/>
      <w:color w:val="25909F"/>
      <w:kern w:val="32"/>
      <w:sz w:val="28"/>
      <w:szCs w:val="32"/>
    </w:rPr>
  </w:style>
  <w:style w:type="paragraph" w:styleId="Title">
    <w:name w:val="Title"/>
    <w:basedOn w:val="Normal"/>
    <w:next w:val="Normal"/>
    <w:link w:val="TitleChar"/>
    <w:uiPriority w:val="10"/>
    <w:qFormat/>
    <w:rsid w:val="00EA515C"/>
    <w:pPr>
      <w:spacing w:before="100" w:after="0"/>
    </w:pPr>
    <w:rPr>
      <w:rFonts w:ascii="Arial Bold" w:eastAsiaTheme="majorEastAsia" w:hAnsi="Arial Bold"/>
      <w:b/>
      <w:noProof/>
      <w:color w:val="646464"/>
      <w:sz w:val="44"/>
      <w:szCs w:val="44"/>
    </w:rPr>
  </w:style>
  <w:style w:type="character" w:customStyle="1" w:styleId="TitleChar">
    <w:name w:val="Title Char"/>
    <w:basedOn w:val="DefaultParagraphFont"/>
    <w:link w:val="Title"/>
    <w:uiPriority w:val="10"/>
    <w:rsid w:val="00EA515C"/>
    <w:rPr>
      <w:rFonts w:ascii="Arial Bold" w:eastAsiaTheme="majorEastAsia" w:hAnsi="Arial Bold" w:cs="Arial"/>
      <w:b/>
      <w:noProof/>
      <w:color w:val="646464"/>
      <w:sz w:val="44"/>
      <w:szCs w:val="44"/>
    </w:rPr>
  </w:style>
  <w:style w:type="paragraph" w:styleId="ListBullet">
    <w:name w:val="List Bullet"/>
    <w:basedOn w:val="Normal"/>
    <w:link w:val="ListBulletChar"/>
    <w:qFormat/>
    <w:rsid w:val="00EA515C"/>
    <w:pPr>
      <w:numPr>
        <w:numId w:val="12"/>
      </w:numPr>
    </w:pPr>
  </w:style>
  <w:style w:type="paragraph" w:styleId="ListBullet2">
    <w:name w:val="List Bullet 2"/>
    <w:basedOn w:val="Normal"/>
    <w:qFormat/>
    <w:rsid w:val="00EA515C"/>
    <w:pPr>
      <w:numPr>
        <w:ilvl w:val="1"/>
        <w:numId w:val="12"/>
      </w:numPr>
    </w:pPr>
  </w:style>
  <w:style w:type="paragraph" w:styleId="TOC1">
    <w:name w:val="toc 1"/>
    <w:basedOn w:val="Normal"/>
    <w:next w:val="Normal"/>
    <w:autoRedefine/>
    <w:uiPriority w:val="39"/>
    <w:qFormat/>
    <w:rsid w:val="00CB49F9"/>
    <w:pPr>
      <w:tabs>
        <w:tab w:val="left" w:pos="426"/>
        <w:tab w:val="left" w:pos="8789"/>
      </w:tabs>
    </w:pPr>
    <w:rPr>
      <w:szCs w:val="21"/>
    </w:rPr>
  </w:style>
  <w:style w:type="character" w:customStyle="1" w:styleId="Heading2Char">
    <w:name w:val="Heading 2 Char"/>
    <w:basedOn w:val="DefaultParagraphFont"/>
    <w:link w:val="Heading2"/>
    <w:rsid w:val="004C0E99"/>
    <w:rPr>
      <w:rFonts w:ascii="Calibri" w:eastAsiaTheme="majorEastAsia" w:hAnsi="Calibri" w:cs="Arial"/>
      <w:b/>
      <w:bCs/>
      <w:iCs/>
      <w:color w:val="25909F"/>
      <w:sz w:val="24"/>
      <w:szCs w:val="28"/>
    </w:rPr>
  </w:style>
  <w:style w:type="character" w:customStyle="1" w:styleId="Heading3Char">
    <w:name w:val="Heading 3 Char"/>
    <w:basedOn w:val="DefaultParagraphFont"/>
    <w:link w:val="Heading3"/>
    <w:rsid w:val="00EA515C"/>
    <w:rPr>
      <w:rFonts w:ascii="Arial" w:eastAsiaTheme="majorEastAsia" w:hAnsi="Arial" w:cs="Arial"/>
      <w:b/>
      <w:bCs/>
      <w:color w:val="25909F"/>
      <w:sz w:val="20"/>
      <w:szCs w:val="26"/>
    </w:rPr>
  </w:style>
  <w:style w:type="character" w:customStyle="1" w:styleId="Heading4Char">
    <w:name w:val="Heading 4 Char"/>
    <w:basedOn w:val="DefaultParagraphFont"/>
    <w:link w:val="Heading4"/>
    <w:rsid w:val="00EA515C"/>
    <w:rPr>
      <w:rFonts w:asciiTheme="majorHAnsi" w:eastAsiaTheme="majorEastAsia" w:hAnsiTheme="majorHAnsi" w:cstheme="majorBidi"/>
      <w:b/>
      <w:bCs/>
      <w:i/>
      <w:iCs/>
      <w:color w:val="646464"/>
      <w:sz w:val="20"/>
      <w:szCs w:val="20"/>
    </w:rPr>
  </w:style>
  <w:style w:type="character" w:customStyle="1" w:styleId="Heading5Char">
    <w:name w:val="Heading 5 Char"/>
    <w:basedOn w:val="DefaultParagraphFont"/>
    <w:link w:val="Heading5"/>
    <w:semiHidden/>
    <w:rsid w:val="00B82FE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semiHidden/>
    <w:rsid w:val="003D51A0"/>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semiHidden/>
    <w:rsid w:val="003D51A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semiHidden/>
    <w:rsid w:val="003D51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B82FEB"/>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3D51A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3D51A0"/>
    <w:rPr>
      <w:rFonts w:asciiTheme="majorHAnsi" w:eastAsiaTheme="majorEastAsia" w:hAnsiTheme="majorHAnsi" w:cstheme="majorBidi"/>
      <w:bCs/>
      <w:i/>
      <w:iCs/>
      <w:color w:val="4F81BD" w:themeColor="accent1"/>
      <w:spacing w:val="15"/>
      <w:sz w:val="24"/>
      <w:szCs w:val="24"/>
    </w:rPr>
  </w:style>
  <w:style w:type="character" w:styleId="Strong">
    <w:name w:val="Strong"/>
    <w:uiPriority w:val="22"/>
    <w:rsid w:val="003D51A0"/>
    <w:rPr>
      <w:b/>
      <w:bCs/>
    </w:rPr>
  </w:style>
  <w:style w:type="character" w:styleId="Emphasis">
    <w:name w:val="Emphasis"/>
    <w:basedOn w:val="DefaultParagraphFont"/>
    <w:uiPriority w:val="20"/>
    <w:rsid w:val="003D51A0"/>
    <w:rPr>
      <w:i/>
      <w:iCs/>
    </w:rPr>
  </w:style>
  <w:style w:type="paragraph" w:styleId="NoSpacing">
    <w:name w:val="No Spacing"/>
    <w:basedOn w:val="Normal"/>
    <w:link w:val="NoSpacingChar"/>
    <w:uiPriority w:val="1"/>
    <w:rsid w:val="00B82FEB"/>
  </w:style>
  <w:style w:type="character" w:customStyle="1" w:styleId="NoSpacingChar">
    <w:name w:val="No Spacing Char"/>
    <w:basedOn w:val="DefaultParagraphFont"/>
    <w:link w:val="NoSpacing"/>
    <w:uiPriority w:val="1"/>
    <w:rsid w:val="003D51A0"/>
    <w:rPr>
      <w:rFonts w:ascii="Arial" w:hAnsi="Arial" w:cs="Arial"/>
      <w:bCs/>
      <w:sz w:val="20"/>
      <w:szCs w:val="24"/>
    </w:rPr>
  </w:style>
  <w:style w:type="paragraph" w:styleId="ListParagraph">
    <w:name w:val="List Paragraph"/>
    <w:basedOn w:val="Normal"/>
    <w:uiPriority w:val="34"/>
    <w:rsid w:val="00B82FEB"/>
    <w:pPr>
      <w:numPr>
        <w:numId w:val="7"/>
      </w:numPr>
      <w:tabs>
        <w:tab w:val="left" w:pos="284"/>
        <w:tab w:val="left" w:pos="851"/>
        <w:tab w:val="left" w:pos="1134"/>
        <w:tab w:val="left" w:pos="1418"/>
      </w:tabs>
    </w:pPr>
    <w:rPr>
      <w:lang w:eastAsia="en-AU"/>
    </w:rPr>
  </w:style>
  <w:style w:type="paragraph" w:styleId="Quote">
    <w:name w:val="Quote"/>
    <w:basedOn w:val="Normal"/>
    <w:next w:val="Normal"/>
    <w:link w:val="QuoteChar"/>
    <w:uiPriority w:val="29"/>
    <w:rsid w:val="003D51A0"/>
    <w:rPr>
      <w:i/>
      <w:iCs/>
      <w:color w:val="000000" w:themeColor="text1"/>
    </w:rPr>
  </w:style>
  <w:style w:type="character" w:customStyle="1" w:styleId="QuoteChar">
    <w:name w:val="Quote Char"/>
    <w:basedOn w:val="DefaultParagraphFont"/>
    <w:link w:val="Quote"/>
    <w:uiPriority w:val="29"/>
    <w:rsid w:val="003D51A0"/>
    <w:rPr>
      <w:rFonts w:ascii="Arial" w:hAnsi="Arial" w:cs="Arial"/>
      <w:bCs/>
      <w:i/>
      <w:iCs/>
      <w:color w:val="000000" w:themeColor="text1"/>
      <w:sz w:val="20"/>
      <w:szCs w:val="24"/>
    </w:rPr>
  </w:style>
  <w:style w:type="paragraph" w:styleId="IntenseQuote">
    <w:name w:val="Intense Quote"/>
    <w:basedOn w:val="Normal"/>
    <w:next w:val="Normal"/>
    <w:link w:val="IntenseQuoteChar"/>
    <w:uiPriority w:val="30"/>
    <w:rsid w:val="003D51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51A0"/>
    <w:rPr>
      <w:rFonts w:ascii="Arial" w:hAnsi="Arial" w:cs="Arial"/>
      <w:b/>
      <w:i/>
      <w:iCs/>
      <w:color w:val="4F81BD" w:themeColor="accent1"/>
      <w:sz w:val="20"/>
      <w:szCs w:val="24"/>
    </w:rPr>
  </w:style>
  <w:style w:type="character" w:styleId="SubtleEmphasis">
    <w:name w:val="Subtle Emphasis"/>
    <w:basedOn w:val="DefaultParagraphFont"/>
    <w:uiPriority w:val="19"/>
    <w:rsid w:val="003D51A0"/>
    <w:rPr>
      <w:i/>
      <w:iCs/>
      <w:color w:val="808080" w:themeColor="text1" w:themeTint="7F"/>
    </w:rPr>
  </w:style>
  <w:style w:type="character" w:styleId="IntenseEmphasis">
    <w:name w:val="Intense Emphasis"/>
    <w:uiPriority w:val="21"/>
    <w:rsid w:val="003D51A0"/>
    <w:rPr>
      <w:b/>
      <w:bCs/>
      <w:i/>
      <w:iCs/>
      <w:color w:val="4F81BD" w:themeColor="accent1"/>
    </w:rPr>
  </w:style>
  <w:style w:type="character" w:styleId="SubtleReference">
    <w:name w:val="Subtle Reference"/>
    <w:basedOn w:val="DefaultParagraphFont"/>
    <w:uiPriority w:val="31"/>
    <w:rsid w:val="003D51A0"/>
    <w:rPr>
      <w:smallCaps/>
      <w:color w:val="C0504D" w:themeColor="accent2"/>
      <w:u w:val="single"/>
    </w:rPr>
  </w:style>
  <w:style w:type="character" w:styleId="IntenseReference">
    <w:name w:val="Intense Reference"/>
    <w:basedOn w:val="DefaultParagraphFont"/>
    <w:uiPriority w:val="32"/>
    <w:rsid w:val="003D51A0"/>
    <w:rPr>
      <w:b/>
      <w:bCs/>
      <w:smallCaps/>
      <w:color w:val="C0504D" w:themeColor="accent2"/>
      <w:spacing w:val="5"/>
      <w:u w:val="single"/>
    </w:rPr>
  </w:style>
  <w:style w:type="character" w:styleId="BookTitle">
    <w:name w:val="Book Title"/>
    <w:basedOn w:val="DefaultParagraphFont"/>
    <w:uiPriority w:val="33"/>
    <w:rsid w:val="003D51A0"/>
    <w:rPr>
      <w:b/>
      <w:bCs/>
      <w:smallCaps/>
      <w:spacing w:val="5"/>
    </w:rPr>
  </w:style>
  <w:style w:type="paragraph" w:styleId="TOCHeading">
    <w:name w:val="TOC Heading"/>
    <w:basedOn w:val="Heading1"/>
    <w:next w:val="Normal"/>
    <w:uiPriority w:val="39"/>
    <w:semiHidden/>
    <w:unhideWhenUsed/>
    <w:qFormat/>
    <w:rsid w:val="003D51A0"/>
    <w:pPr>
      <w:keepLines/>
      <w:spacing w:before="480" w:after="0"/>
      <w:outlineLvl w:val="9"/>
    </w:pPr>
    <w:rPr>
      <w:rFonts w:asciiTheme="majorHAnsi" w:hAnsiTheme="majorHAnsi" w:cstheme="majorBidi"/>
      <w:color w:val="365F91" w:themeColor="accent1" w:themeShade="BF"/>
      <w:kern w:val="0"/>
      <w:szCs w:val="28"/>
    </w:rPr>
  </w:style>
  <w:style w:type="paragraph" w:styleId="Caption">
    <w:name w:val="caption"/>
    <w:basedOn w:val="Normal"/>
    <w:next w:val="Normal"/>
    <w:semiHidden/>
    <w:unhideWhenUsed/>
    <w:qFormat/>
    <w:rsid w:val="003D51A0"/>
    <w:pPr>
      <w:spacing w:before="0" w:after="200" w:line="240" w:lineRule="auto"/>
    </w:pPr>
    <w:rPr>
      <w:b/>
      <w:bCs/>
      <w:color w:val="4F81BD" w:themeColor="accent1"/>
      <w:sz w:val="18"/>
      <w:szCs w:val="18"/>
    </w:rPr>
  </w:style>
  <w:style w:type="table" w:styleId="TableGrid">
    <w:name w:val="Table Grid"/>
    <w:basedOn w:val="TableNormal"/>
    <w:uiPriority w:val="59"/>
    <w:rsid w:val="003D51A0"/>
    <w:pPr>
      <w:spacing w:line="240" w:lineRule="auto"/>
    </w:pPr>
    <w:rPr>
      <w:sz w:val="19"/>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style>
  <w:style w:type="paragraph" w:customStyle="1" w:styleId="TinyTot">
    <w:name w:val="Tiny Tot"/>
    <w:basedOn w:val="Normal"/>
    <w:rsid w:val="003D51A0"/>
    <w:pPr>
      <w:spacing w:after="0" w:line="240" w:lineRule="auto"/>
    </w:pPr>
    <w:rPr>
      <w:sz w:val="4"/>
      <w:szCs w:val="4"/>
      <w:lang w:eastAsia="en-AU"/>
    </w:rPr>
  </w:style>
  <w:style w:type="paragraph" w:styleId="ListBullet3">
    <w:name w:val="List Bullet 3"/>
    <w:basedOn w:val="Normal"/>
    <w:uiPriority w:val="2"/>
    <w:rsid w:val="003D51A0"/>
    <w:pPr>
      <w:numPr>
        <w:ilvl w:val="2"/>
        <w:numId w:val="12"/>
      </w:numPr>
    </w:pPr>
  </w:style>
  <w:style w:type="paragraph" w:styleId="Footer">
    <w:name w:val="footer"/>
    <w:basedOn w:val="Normal"/>
    <w:link w:val="FooterChar"/>
    <w:uiPriority w:val="99"/>
    <w:rsid w:val="009122C5"/>
    <w:pPr>
      <w:tabs>
        <w:tab w:val="center" w:pos="4513"/>
        <w:tab w:val="right" w:pos="9026"/>
      </w:tabs>
      <w:spacing w:after="0" w:line="240" w:lineRule="auto"/>
    </w:pPr>
    <w:rPr>
      <w:rFonts w:cs="Times New Roman"/>
      <w:sz w:val="17"/>
    </w:rPr>
  </w:style>
  <w:style w:type="character" w:customStyle="1" w:styleId="FooterChar">
    <w:name w:val="Footer Char"/>
    <w:basedOn w:val="DefaultParagraphFont"/>
    <w:link w:val="Footer"/>
    <w:uiPriority w:val="99"/>
    <w:rsid w:val="009122C5"/>
    <w:rPr>
      <w:rFonts w:eastAsia="Times New Roman" w:cs="Times New Roman"/>
      <w:sz w:val="17"/>
      <w:szCs w:val="20"/>
    </w:rPr>
  </w:style>
  <w:style w:type="character" w:styleId="Hyperlink">
    <w:name w:val="Hyperlink"/>
    <w:basedOn w:val="DefaultParagraphFont"/>
    <w:uiPriority w:val="99"/>
    <w:qFormat/>
    <w:rsid w:val="004C0E99"/>
    <w:rPr>
      <w:rFonts w:ascii="Calibri" w:hAnsi="Calibri"/>
      <w:color w:val="0000FF"/>
      <w:sz w:val="20"/>
      <w:u w:val="single"/>
    </w:rPr>
  </w:style>
  <w:style w:type="character" w:customStyle="1" w:styleId="ListBulletChar">
    <w:name w:val="List Bullet Char"/>
    <w:link w:val="ListBullet"/>
    <w:rsid w:val="009122C5"/>
    <w:rPr>
      <w:rFonts w:ascii="Arial" w:hAnsi="Arial" w:cs="Arial"/>
      <w:color w:val="2F2F2F"/>
      <w:sz w:val="20"/>
      <w:szCs w:val="20"/>
    </w:rPr>
  </w:style>
  <w:style w:type="paragraph" w:styleId="FootnoteText">
    <w:name w:val="footnote text"/>
    <w:basedOn w:val="Normal"/>
    <w:link w:val="FootnoteTextChar"/>
    <w:uiPriority w:val="5"/>
    <w:rsid w:val="003D51A0"/>
    <w:pPr>
      <w:tabs>
        <w:tab w:val="left" w:pos="284"/>
      </w:tabs>
      <w:spacing w:after="0" w:line="240" w:lineRule="auto"/>
      <w:ind w:left="284" w:hanging="284"/>
    </w:pPr>
    <w:rPr>
      <w:color w:val="808080" w:themeColor="background1" w:themeShade="80"/>
      <w:sz w:val="18"/>
    </w:rPr>
  </w:style>
  <w:style w:type="character" w:customStyle="1" w:styleId="FootnoteTextChar">
    <w:name w:val="Footnote Text Char"/>
    <w:basedOn w:val="DefaultParagraphFont"/>
    <w:link w:val="FootnoteText"/>
    <w:uiPriority w:val="5"/>
    <w:rsid w:val="003D51A0"/>
    <w:rPr>
      <w:color w:val="808080" w:themeColor="background1" w:themeShade="80"/>
      <w:sz w:val="18"/>
      <w:szCs w:val="20"/>
    </w:rPr>
  </w:style>
  <w:style w:type="paragraph" w:styleId="Header">
    <w:name w:val="header"/>
    <w:basedOn w:val="Normal"/>
    <w:link w:val="HeaderChar"/>
    <w:uiPriority w:val="4"/>
    <w:rsid w:val="003D51A0"/>
    <w:pPr>
      <w:tabs>
        <w:tab w:val="center" w:pos="4513"/>
        <w:tab w:val="right" w:pos="9026"/>
      </w:tabs>
      <w:spacing w:after="0" w:line="240" w:lineRule="auto"/>
    </w:pPr>
  </w:style>
  <w:style w:type="character" w:customStyle="1" w:styleId="HeaderChar">
    <w:name w:val="Header Char"/>
    <w:basedOn w:val="DefaultParagraphFont"/>
    <w:link w:val="Header"/>
    <w:uiPriority w:val="4"/>
    <w:rsid w:val="003D51A0"/>
    <w:rPr>
      <w:sz w:val="19"/>
    </w:rPr>
  </w:style>
  <w:style w:type="character" w:styleId="FootnoteReference">
    <w:name w:val="footnote reference"/>
    <w:basedOn w:val="DefaultParagraphFont"/>
    <w:uiPriority w:val="6"/>
    <w:rsid w:val="003D51A0"/>
    <w:rPr>
      <w:vertAlign w:val="superscript"/>
    </w:rPr>
  </w:style>
  <w:style w:type="paragraph" w:styleId="BalloonText">
    <w:name w:val="Balloon Text"/>
    <w:basedOn w:val="Normal"/>
    <w:link w:val="BalloonTextChar"/>
    <w:uiPriority w:val="99"/>
    <w:semiHidden/>
    <w:unhideWhenUsed/>
    <w:rsid w:val="003D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1A0"/>
    <w:rPr>
      <w:rFonts w:ascii="Tahoma" w:hAnsi="Tahoma" w:cs="Tahoma"/>
      <w:sz w:val="16"/>
      <w:szCs w:val="16"/>
    </w:rPr>
  </w:style>
  <w:style w:type="paragraph" w:customStyle="1" w:styleId="Banner">
    <w:name w:val="Banner"/>
    <w:basedOn w:val="Title"/>
    <w:uiPriority w:val="4"/>
    <w:rsid w:val="00207AB4"/>
    <w:pPr>
      <w:shd w:val="clear" w:color="auto" w:fill="4F81BD" w:themeFill="accent1"/>
      <w:spacing w:before="300"/>
      <w:outlineLvl w:val="0"/>
    </w:pPr>
    <w:rPr>
      <w:rFonts w:cs="Times New Roman"/>
      <w:b w:val="0"/>
      <w:bCs/>
      <w:color w:val="FFFFFF" w:themeColor="background1"/>
    </w:rPr>
  </w:style>
  <w:style w:type="paragraph" w:customStyle="1" w:styleId="AlphaNumbering">
    <w:name w:val="Alpha Numbering"/>
    <w:basedOn w:val="Normal"/>
    <w:uiPriority w:val="3"/>
    <w:rsid w:val="003D51A0"/>
    <w:pPr>
      <w:numPr>
        <w:numId w:val="5"/>
      </w:numPr>
      <w:tabs>
        <w:tab w:val="left" w:pos="284"/>
        <w:tab w:val="left" w:pos="851"/>
      </w:tabs>
    </w:pPr>
    <w:rPr>
      <w:rFonts w:cs="Times New Roman"/>
      <w:color w:val="1C1C1C"/>
      <w:szCs w:val="18"/>
      <w:lang w:eastAsia="en-AU"/>
    </w:rPr>
  </w:style>
  <w:style w:type="paragraph" w:styleId="BodyText">
    <w:name w:val="Body Text"/>
    <w:basedOn w:val="Normal"/>
    <w:link w:val="BodyTextChar"/>
    <w:qFormat/>
    <w:rsid w:val="00EA515C"/>
    <w:pPr>
      <w:spacing w:before="180" w:after="180"/>
    </w:pPr>
  </w:style>
  <w:style w:type="character" w:customStyle="1" w:styleId="BodyTextChar">
    <w:name w:val="Body Text Char"/>
    <w:basedOn w:val="DefaultParagraphFont"/>
    <w:link w:val="BodyText"/>
    <w:rsid w:val="003D51A0"/>
    <w:rPr>
      <w:rFonts w:ascii="Arial" w:hAnsi="Arial" w:cs="Arial"/>
      <w:color w:val="2F2F2F"/>
      <w:sz w:val="20"/>
      <w:szCs w:val="20"/>
    </w:rPr>
  </w:style>
  <w:style w:type="paragraph" w:customStyle="1" w:styleId="Indent-hanging1cmpolicyprinciples">
    <w:name w:val="Indent - hanging 1 cm (policy principles)"/>
    <w:basedOn w:val="Normal"/>
    <w:rsid w:val="00995988"/>
    <w:pPr>
      <w:ind w:left="567" w:hanging="567"/>
    </w:pPr>
    <w:rPr>
      <w:rFonts w:eastAsiaTheme="majorEastAsia" w:cs="Times New Roman"/>
      <w:sz w:val="18"/>
      <w:szCs w:val="18"/>
      <w:lang w:eastAsia="en-AU"/>
    </w:rPr>
  </w:style>
  <w:style w:type="paragraph" w:customStyle="1" w:styleId="i-hanging05cmpolicyprinciples">
    <w:name w:val="i - hanging 0.5 cm (policy principles)"/>
    <w:basedOn w:val="Indent-hanging1cmpolicyprinciples"/>
    <w:rsid w:val="00995988"/>
    <w:pPr>
      <w:tabs>
        <w:tab w:val="left" w:pos="284"/>
      </w:tabs>
    </w:pPr>
  </w:style>
  <w:style w:type="paragraph" w:customStyle="1" w:styleId="Indent-05cmPOLICY">
    <w:name w:val="Indent - 0.5 cm (POLICY)"/>
    <w:basedOn w:val="Normal"/>
    <w:rsid w:val="00D25E35"/>
    <w:rPr>
      <w:rFonts w:eastAsiaTheme="majorEastAsia" w:cs="Times New Roman"/>
      <w:color w:val="1C1C1C"/>
      <w:sz w:val="18"/>
      <w:szCs w:val="18"/>
      <w:lang w:eastAsia="en-AU"/>
    </w:rPr>
  </w:style>
  <w:style w:type="paragraph" w:customStyle="1" w:styleId="Indent-05hangingPM">
    <w:name w:val="Indent - 0.5 hanging (PM)"/>
    <w:basedOn w:val="Normal"/>
    <w:rsid w:val="00F81E06"/>
    <w:pPr>
      <w:tabs>
        <w:tab w:val="left" w:pos="284"/>
      </w:tabs>
      <w:ind w:left="284" w:hanging="284"/>
    </w:pPr>
    <w:rPr>
      <w:rFonts w:eastAsiaTheme="majorEastAsia" w:cs="Times New Roman"/>
      <w:color w:val="1C1C1C"/>
      <w:sz w:val="18"/>
      <w:szCs w:val="18"/>
      <w:lang w:eastAsia="en-AU"/>
    </w:rPr>
  </w:style>
  <w:style w:type="paragraph" w:customStyle="1" w:styleId="IN-1">
    <w:name w:val="IN-1"/>
    <w:basedOn w:val="Normal"/>
    <w:uiPriority w:val="1"/>
    <w:rsid w:val="003D51A0"/>
    <w:pPr>
      <w:ind w:left="567" w:hanging="567"/>
    </w:pPr>
    <w:rPr>
      <w:rFonts w:eastAsiaTheme="majorEastAsia" w:cs="Times New Roman"/>
      <w:sz w:val="18"/>
      <w:szCs w:val="18"/>
      <w:lang w:eastAsia="en-AU"/>
    </w:rPr>
  </w:style>
  <w:style w:type="paragraph" w:customStyle="1" w:styleId="in-05">
    <w:name w:val="in-0.5"/>
    <w:basedOn w:val="IN-1"/>
    <w:uiPriority w:val="1"/>
    <w:rsid w:val="003D51A0"/>
    <w:pPr>
      <w:tabs>
        <w:tab w:val="left" w:pos="284"/>
      </w:tabs>
    </w:pPr>
  </w:style>
  <w:style w:type="paragraph" w:customStyle="1" w:styleId="INhang-05">
    <w:name w:val="INhang-0.5"/>
    <w:basedOn w:val="Normal"/>
    <w:uiPriority w:val="1"/>
    <w:rsid w:val="003D51A0"/>
    <w:rPr>
      <w:rFonts w:eastAsiaTheme="majorEastAsia" w:cs="Times New Roman"/>
      <w:color w:val="1C1C1C"/>
      <w:sz w:val="18"/>
      <w:szCs w:val="18"/>
      <w:lang w:eastAsia="en-AU"/>
    </w:rPr>
  </w:style>
  <w:style w:type="paragraph" w:customStyle="1" w:styleId="IN-050">
    <w:name w:val="IN-0.5"/>
    <w:basedOn w:val="Normal"/>
    <w:uiPriority w:val="1"/>
    <w:rsid w:val="003D51A0"/>
    <w:pPr>
      <w:tabs>
        <w:tab w:val="left" w:pos="284"/>
      </w:tabs>
      <w:ind w:left="284" w:hanging="284"/>
    </w:pPr>
    <w:rPr>
      <w:rFonts w:eastAsiaTheme="majorEastAsia" w:cs="Times New Roman"/>
      <w:color w:val="1C1C1C"/>
      <w:sz w:val="18"/>
      <w:szCs w:val="18"/>
      <w:lang w:eastAsia="en-AU"/>
    </w:rPr>
  </w:style>
  <w:style w:type="paragraph" w:styleId="EndnoteText">
    <w:name w:val="endnote text"/>
    <w:basedOn w:val="Normal"/>
    <w:link w:val="EndnoteTextChar"/>
    <w:uiPriority w:val="5"/>
    <w:rsid w:val="003D51A0"/>
    <w:pPr>
      <w:spacing w:after="0" w:line="240" w:lineRule="auto"/>
    </w:pPr>
    <w:rPr>
      <w:color w:val="808080" w:themeColor="background1" w:themeShade="80"/>
    </w:rPr>
  </w:style>
  <w:style w:type="character" w:customStyle="1" w:styleId="EndnoteTextChar">
    <w:name w:val="Endnote Text Char"/>
    <w:basedOn w:val="DefaultParagraphFont"/>
    <w:link w:val="EndnoteText"/>
    <w:uiPriority w:val="5"/>
    <w:rsid w:val="003D51A0"/>
    <w:rPr>
      <w:color w:val="808080" w:themeColor="background1" w:themeShade="80"/>
      <w:sz w:val="20"/>
      <w:szCs w:val="20"/>
    </w:rPr>
  </w:style>
  <w:style w:type="paragraph" w:customStyle="1" w:styleId="Blueboldnormal">
    <w:name w:val="Blue bold normal"/>
    <w:basedOn w:val="Normal"/>
    <w:rsid w:val="003D51A0"/>
    <w:rPr>
      <w:b/>
      <w:color w:val="4F81BD" w:themeColor="accent1"/>
    </w:rPr>
  </w:style>
  <w:style w:type="paragraph" w:styleId="List">
    <w:name w:val="List"/>
    <w:basedOn w:val="Normal"/>
    <w:uiPriority w:val="2"/>
    <w:rsid w:val="003D51A0"/>
    <w:pPr>
      <w:ind w:left="283" w:hanging="283"/>
      <w:contextualSpacing/>
    </w:pPr>
  </w:style>
  <w:style w:type="character" w:customStyle="1" w:styleId="Emphasis-Italics">
    <w:name w:val="Emphasis - Italics"/>
    <w:rsid w:val="00B82FEB"/>
    <w:rPr>
      <w:i/>
    </w:rPr>
  </w:style>
  <w:style w:type="character" w:customStyle="1" w:styleId="Emphasis-Bold">
    <w:name w:val="Emphasis - Bold"/>
    <w:rsid w:val="00B82FEB"/>
    <w:rPr>
      <w:rFonts w:ascii="Arial" w:hAnsi="Arial" w:cs="Arial"/>
      <w:b/>
      <w:color w:val="000000"/>
    </w:rPr>
  </w:style>
  <w:style w:type="paragraph" w:customStyle="1" w:styleId="Bullet1">
    <w:name w:val="Bullet 1"/>
    <w:basedOn w:val="Normal"/>
    <w:rsid w:val="00B82FEB"/>
    <w:pPr>
      <w:tabs>
        <w:tab w:val="num" w:pos="1077"/>
      </w:tabs>
      <w:spacing w:before="80" w:after="80" w:line="240" w:lineRule="auto"/>
      <w:ind w:left="1077" w:hanging="283"/>
    </w:pPr>
    <w:rPr>
      <w:rFonts w:cs="Calibri"/>
      <w:bCs/>
      <w:sz w:val="22"/>
      <w:lang w:eastAsia="en-AU"/>
    </w:rPr>
  </w:style>
  <w:style w:type="paragraph" w:customStyle="1" w:styleId="DEPIBullet">
    <w:name w:val="DEPI_Bullet"/>
    <w:link w:val="DEPIBulletChar"/>
    <w:rsid w:val="00B82FEB"/>
    <w:pPr>
      <w:tabs>
        <w:tab w:val="num" w:pos="284"/>
      </w:tabs>
      <w:spacing w:before="60" w:after="60" w:line="260" w:lineRule="atLeast"/>
      <w:ind w:left="284" w:hanging="284"/>
    </w:pPr>
    <w:rPr>
      <w:rFonts w:ascii="Arial" w:hAnsi="Arial" w:cs="Arial"/>
      <w:szCs w:val="24"/>
    </w:rPr>
  </w:style>
  <w:style w:type="character" w:customStyle="1" w:styleId="DEPIBulletChar">
    <w:name w:val="DEPI_Bullet Char"/>
    <w:basedOn w:val="DefaultParagraphFont"/>
    <w:link w:val="DEPIBullet"/>
    <w:rsid w:val="00B82FEB"/>
    <w:rPr>
      <w:rFonts w:ascii="Arial" w:eastAsia="Times New Roman" w:hAnsi="Arial" w:cs="Arial"/>
      <w:sz w:val="18"/>
      <w:szCs w:val="24"/>
    </w:rPr>
  </w:style>
  <w:style w:type="paragraph" w:styleId="ListNumber">
    <w:name w:val="List Number"/>
    <w:basedOn w:val="Normal"/>
    <w:qFormat/>
    <w:rsid w:val="00EA515C"/>
    <w:pPr>
      <w:numPr>
        <w:numId w:val="14"/>
      </w:numPr>
    </w:pPr>
    <w:rPr>
      <w:b/>
      <w:color w:val="F68F35"/>
    </w:rPr>
  </w:style>
  <w:style w:type="paragraph" w:styleId="ListNumber2">
    <w:name w:val="List Number 2"/>
    <w:basedOn w:val="Normal"/>
    <w:qFormat/>
    <w:rsid w:val="00EA515C"/>
    <w:pPr>
      <w:numPr>
        <w:ilvl w:val="1"/>
        <w:numId w:val="14"/>
      </w:numPr>
    </w:pPr>
  </w:style>
  <w:style w:type="character" w:styleId="FollowedHyperlink">
    <w:name w:val="FollowedHyperlink"/>
    <w:basedOn w:val="DefaultParagraphFont"/>
    <w:uiPriority w:val="99"/>
    <w:semiHidden/>
    <w:unhideWhenUsed/>
    <w:rsid w:val="002559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depi.vic.gov.au/about-us/boards-and-governance/on-board-governance-guides-and-resources/conflict-of-interest" TargetMode="External"/><Relationship Id="rId18" Type="http://schemas.openxmlformats.org/officeDocument/2006/relationships/hyperlink" Target="http://www.delwp.vic.gov.au/onboard" TargetMode="External"/><Relationship Id="rId26" Type="http://schemas.openxmlformats.org/officeDocument/2006/relationships/hyperlink" Target="http://www.depi.vic.gov.au/about-us/boards-and-governance/on-board-governance-guides-and-resources/conflict-of-interest/_nocache" TargetMode="External"/><Relationship Id="rId39" Type="http://schemas.openxmlformats.org/officeDocument/2006/relationships/hyperlink" Target="http://www.ssa.vic.gov.au/subscribe-to-enews.html"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9.png"/><Relationship Id="rId42" Type="http://schemas.openxmlformats.org/officeDocument/2006/relationships/hyperlink" Target="http://www.audit.vic.gov.au/about_us/subscribe_newsletters.aspx"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dtf.vic.gov.au/Publications/Government-Financial-Management-publications/Financial-reporting-policy/Accounting-policy-update-Newsletters" TargetMode="External"/><Relationship Id="rId25" Type="http://schemas.openxmlformats.org/officeDocument/2006/relationships/hyperlink" Target="http://www.depi.vic.gov.au/about-us/boards-and-governance/on-board-governance-guides-and-resources/meetings-and-decision-making" TargetMode="External"/><Relationship Id="rId33" Type="http://schemas.openxmlformats.org/officeDocument/2006/relationships/image" Target="media/image8.png"/><Relationship Id="rId38" Type="http://schemas.openxmlformats.org/officeDocument/2006/relationships/hyperlink" Target="http://eepurl.com/bfeumr" TargetMode="External"/><Relationship Id="rId2" Type="http://schemas.openxmlformats.org/officeDocument/2006/relationships/numbering" Target="numbering.xml"/><Relationship Id="rId16" Type="http://schemas.openxmlformats.org/officeDocument/2006/relationships/hyperlink" Target="http://www.depi.vic.gov.au/about-us/boards-and-governance/on-board-governance-guides-and-resources/conflict-of-interest" TargetMode="External"/><Relationship Id="rId20" Type="http://schemas.openxmlformats.org/officeDocument/2006/relationships/hyperlink" Target="http://www.depi.vic.gov.au/about-us/boards-and-governance/on-board-governance-guides-and-resources/annual-reporting" TargetMode="External"/><Relationship Id="rId29" Type="http://schemas.openxmlformats.org/officeDocument/2006/relationships/hyperlink" Target="http://www.delwp.vic.gov.au/onboard" TargetMode="External"/><Relationship Id="rId41" Type="http://schemas.openxmlformats.org/officeDocument/2006/relationships/hyperlink" Target="https://www.ombudsman.vic.gov.au/Media/Register-for-Media-Aler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epurl.com/bfeumr" TargetMode="External"/><Relationship Id="rId24" Type="http://schemas.openxmlformats.org/officeDocument/2006/relationships/hyperlink" Target="http://www.depi.vic.gov.au/about-us/boards-and-governance/on-board-governance-guides-and-resources/support-modules" TargetMode="External"/><Relationship Id="rId32" Type="http://schemas.openxmlformats.org/officeDocument/2006/relationships/image" Target="media/image7.png"/><Relationship Id="rId37" Type="http://schemas.openxmlformats.org/officeDocument/2006/relationships/hyperlink" Target="http://www.depi.vic.gov.au/about-us/boards-and-governance/on-board-governance-guides-and-resources/e-alerts-and-news" TargetMode="External"/><Relationship Id="rId40" Type="http://schemas.openxmlformats.org/officeDocument/2006/relationships/hyperlink" Target="http://vpsc.vic.gov.au/products/a-z/view-products/governance-insights.html" TargetMode="External"/><Relationship Id="rId5" Type="http://schemas.openxmlformats.org/officeDocument/2006/relationships/settings" Target="settings.xml"/><Relationship Id="rId15" Type="http://schemas.openxmlformats.org/officeDocument/2006/relationships/hyperlink" Target="http://www.depi.vic.gov.au/forestry-and-land-use/managing-land/managing-crown-land" TargetMode="External"/><Relationship Id="rId23" Type="http://schemas.openxmlformats.org/officeDocument/2006/relationships/hyperlink" Target="http://www.delwp.vic.gov.au/onboard" TargetMode="External"/><Relationship Id="rId28" Type="http://schemas.openxmlformats.org/officeDocument/2006/relationships/hyperlink" Target="http://www.depi.vic.gov.au/about-us/boards-and-governance/on-board-governance-guides-and-resources/governance-essentials" TargetMode="External"/><Relationship Id="rId36" Type="http://schemas.openxmlformats.org/officeDocument/2006/relationships/image" Target="media/image11.png"/><Relationship Id="rId10" Type="http://schemas.openxmlformats.org/officeDocument/2006/relationships/hyperlink" Target="http://www.delwp.vic.gov.au/onboard" TargetMode="External"/><Relationship Id="rId19" Type="http://schemas.openxmlformats.org/officeDocument/2006/relationships/hyperlink" Target="http://www.delwp.vic.gov.au/onboard" TargetMode="External"/><Relationship Id="rId31" Type="http://schemas.openxmlformats.org/officeDocument/2006/relationships/hyperlink" Target="http://eepurl.com/bfeum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depi.vic.gov.au/about-us/boards-and-governance/on-board-governance-guides-and-resources/conflict-of-interest" TargetMode="External"/><Relationship Id="rId22" Type="http://schemas.openxmlformats.org/officeDocument/2006/relationships/hyperlink" Target="http://www.delwp.vic.gov.au/onboard" TargetMode="External"/><Relationship Id="rId27" Type="http://schemas.openxmlformats.org/officeDocument/2006/relationships/hyperlink" Target="http://www.depi.vic.gov.au/about-us/boards-and-governance/on-board-governance-guides-and-resources/gifts-benefits-and-hospitality" TargetMode="External"/><Relationship Id="rId30" Type="http://schemas.openxmlformats.org/officeDocument/2006/relationships/image" Target="media/image6.jpeg"/><Relationship Id="rId35" Type="http://schemas.openxmlformats.org/officeDocument/2006/relationships/image" Target="media/image10.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281F-4DDB-411F-9619-95FE8B1F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Bright</dc:creator>
  <cp:lastModifiedBy>Dean Ogden</cp:lastModifiedBy>
  <cp:revision>4</cp:revision>
  <cp:lastPrinted>2015-03-12T06:16:00Z</cp:lastPrinted>
  <dcterms:created xsi:type="dcterms:W3CDTF">2015-03-26T04:51:00Z</dcterms:created>
  <dcterms:modified xsi:type="dcterms:W3CDTF">2015-03-26T04:55:00Z</dcterms:modified>
</cp:coreProperties>
</file>