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B0" w:rsidRPr="00422B3D" w:rsidRDefault="00D35879" w:rsidP="002C3E51">
      <w:pPr>
        <w:pStyle w:val="HA"/>
        <w:spacing w:before="100" w:after="400"/>
        <w:ind w:left="567" w:hanging="567"/>
      </w:pPr>
      <w:bookmarkStart w:id="0" w:name="_Toc380407540"/>
      <w:bookmarkStart w:id="1" w:name="_Toc382289633"/>
      <w:bookmarkStart w:id="2" w:name="_GoBack"/>
      <w:bookmarkEnd w:id="2"/>
      <w:r>
        <w:t>5</w:t>
      </w:r>
      <w:r w:rsidR="00591BB0" w:rsidRPr="00422B3D">
        <w:t>.</w:t>
      </w:r>
      <w:bookmarkEnd w:id="0"/>
      <w:bookmarkEnd w:id="1"/>
      <w:r w:rsidR="002C3E51">
        <w:t xml:space="preserve"> </w:t>
      </w:r>
      <w:r w:rsidR="008232FD">
        <w:t xml:space="preserve"> </w:t>
      </w:r>
      <w:r w:rsidR="00D978A6">
        <w:t>Good work practices</w:t>
      </w:r>
      <w:r w:rsidR="002C3E51">
        <w:t xml:space="preserve"> </w:t>
      </w:r>
    </w:p>
    <w:p w:rsidR="00226C88" w:rsidRDefault="00247409" w:rsidP="005645B3">
      <w:pPr>
        <w:pStyle w:val="Pullout"/>
        <w:spacing w:after="120"/>
      </w:pPr>
      <w:r w:rsidRPr="00B82219">
        <w:t xml:space="preserve">This chapter </w:t>
      </w:r>
      <w:r w:rsidR="008232FD" w:rsidRPr="00574FC6">
        <w:t>looks at</w:t>
      </w:r>
      <w:r w:rsidR="00226C88">
        <w:t>:</w:t>
      </w:r>
    </w:p>
    <w:p w:rsidR="00AF7927" w:rsidRPr="00A32753" w:rsidRDefault="00D35879" w:rsidP="00A32753">
      <w:pPr>
        <w:pStyle w:val="Bullet"/>
      </w:pPr>
      <w:r w:rsidRPr="00A32753">
        <w:t>benefits and safety of incorporation</w:t>
      </w:r>
    </w:p>
    <w:p w:rsidR="00AF7927" w:rsidRPr="00A32753" w:rsidRDefault="00D35879" w:rsidP="00A32753">
      <w:pPr>
        <w:pStyle w:val="Bullet"/>
      </w:pPr>
      <w:r w:rsidRPr="00A32753">
        <w:t>dealing with public complaints</w:t>
      </w:r>
      <w:r w:rsidR="008232FD" w:rsidRPr="00A32753">
        <w:t xml:space="preserve"> </w:t>
      </w:r>
    </w:p>
    <w:p w:rsidR="00D35879" w:rsidRPr="00A32753" w:rsidRDefault="00D35879" w:rsidP="00A32753">
      <w:pPr>
        <w:pStyle w:val="Bullet"/>
      </w:pPr>
      <w:r w:rsidRPr="00A32753">
        <w:t>good record-keeping.</w:t>
      </w:r>
    </w:p>
    <w:p w:rsidR="00247409" w:rsidRDefault="00D35879" w:rsidP="00DE453A">
      <w:pPr>
        <w:pStyle w:val="Heading2"/>
        <w:spacing w:before="500"/>
      </w:pPr>
      <w:r>
        <w:t>5</w:t>
      </w:r>
      <w:r w:rsidR="00247409" w:rsidRPr="00226C88">
        <w:t xml:space="preserve">.1 </w:t>
      </w:r>
      <w:r w:rsidR="00247409" w:rsidRPr="00574FC6">
        <w:rPr>
          <w:color w:val="F58426"/>
        </w:rPr>
        <w:tab/>
      </w:r>
      <w:bookmarkStart w:id="3" w:name="_Toc380407546"/>
      <w:bookmarkStart w:id="4" w:name="_Toc382289640"/>
      <w:r w:rsidRPr="00574FC6">
        <w:t>Benefits and safety of incorporation</w:t>
      </w:r>
    </w:p>
    <w:p w:rsidR="008232FD" w:rsidRPr="00574FC6" w:rsidRDefault="008232FD" w:rsidP="00F15650">
      <w:bookmarkStart w:id="5" w:name="_Toc380503599"/>
      <w:bookmarkStart w:id="6" w:name="_Toc382289680"/>
      <w:r w:rsidRPr="00574FC6">
        <w:t xml:space="preserve">The </w:t>
      </w:r>
      <w:r w:rsidRPr="00574FC6">
        <w:rPr>
          <w:rStyle w:val="italic"/>
          <w:iCs/>
        </w:rPr>
        <w:t>Crown Land (Reserves) Act</w:t>
      </w:r>
      <w:r w:rsidR="00F15650">
        <w:rPr>
          <w:rStyle w:val="italic"/>
          <w:iCs/>
        </w:rPr>
        <w:t xml:space="preserve"> 1978</w:t>
      </w:r>
      <w:r w:rsidRPr="00574FC6">
        <w:rPr>
          <w:i/>
        </w:rPr>
        <w:t xml:space="preserve"> </w:t>
      </w:r>
      <w:r w:rsidR="006A0A2D" w:rsidRPr="00574FC6">
        <w:t xml:space="preserve">provides </w:t>
      </w:r>
      <w:r w:rsidR="006A0A2D">
        <w:t xml:space="preserve">a mechanism for committees to become incorporated.  Most committees take up this opportunity, which provides a number of benefits and </w:t>
      </w:r>
      <w:r w:rsidR="006A0A2D" w:rsidRPr="00574FC6">
        <w:t xml:space="preserve">safeguards, for example:  </w:t>
      </w:r>
    </w:p>
    <w:p w:rsidR="008232FD" w:rsidRPr="00574FC6" w:rsidRDefault="008232FD" w:rsidP="00F15650">
      <w:pPr>
        <w:pStyle w:val="ListBullet"/>
      </w:pPr>
      <w:r w:rsidRPr="00574FC6">
        <w:t>Incorporation turns a committee into an entity that is recognised in law as a legal ‘person’.  Legal action can be carried out by or against the entity, rather than individual committee members, and continues uninterrupted by changes in membership.  An incorporated committee, rather than the individual committee members, is liable for legal judgements made against it.</w:t>
      </w:r>
    </w:p>
    <w:p w:rsidR="008232FD" w:rsidRPr="00574FC6" w:rsidRDefault="008232FD" w:rsidP="00F15650">
      <w:pPr>
        <w:pStyle w:val="ListBullet"/>
      </w:pPr>
      <w:r w:rsidRPr="00574FC6">
        <w:t xml:space="preserve">Members of the public, tenants and contractors find it easier to deal with an ongoing body corporate rather than with a group of individuals who will join and leave the committee over time. </w:t>
      </w:r>
    </w:p>
    <w:p w:rsidR="008232FD" w:rsidRPr="00574FC6" w:rsidRDefault="008232FD" w:rsidP="00F15650">
      <w:r w:rsidRPr="00574FC6">
        <w:t>Incorporation under the</w:t>
      </w:r>
      <w:r w:rsidRPr="00574FC6">
        <w:rPr>
          <w:rStyle w:val="italic"/>
          <w:iCs/>
        </w:rPr>
        <w:t xml:space="preserve"> Crown Land (Reserves) Act</w:t>
      </w:r>
      <w:r w:rsidRPr="00574FC6">
        <w:t xml:space="preserve"> is a simple, straightforward process that is undertaken by DELWP</w:t>
      </w:r>
      <w:r w:rsidR="00C3737E">
        <w:t xml:space="preserve"> on behalf of the committee.</w:t>
      </w:r>
      <w:r w:rsidR="006A0A2D" w:rsidRPr="006A0A2D">
        <w:t xml:space="preserve">  </w:t>
      </w:r>
      <w:r w:rsidR="006A0A2D">
        <w:t>If your committee is not yet incorporated, it</w:t>
      </w:r>
      <w:r w:rsidR="006A0A2D" w:rsidRPr="00574FC6">
        <w:t xml:space="preserve"> is </w:t>
      </w:r>
      <w:r w:rsidR="006A0A2D">
        <w:t xml:space="preserve">strongly </w:t>
      </w:r>
      <w:r w:rsidR="006A0A2D" w:rsidRPr="00574FC6">
        <w:t xml:space="preserve">recommended </w:t>
      </w:r>
      <w:r w:rsidR="006A0A2D">
        <w:t>that</w:t>
      </w:r>
      <w:r w:rsidR="006A0A2D" w:rsidRPr="006A0A2D">
        <w:t xml:space="preserve"> </w:t>
      </w:r>
      <w:r w:rsidR="006A0A2D">
        <w:t>this occur</w:t>
      </w:r>
      <w:r w:rsidR="006A0A2D" w:rsidRPr="00574FC6">
        <w:t>.</w:t>
      </w:r>
    </w:p>
    <w:p w:rsidR="008232FD" w:rsidRPr="00B82219" w:rsidRDefault="008232FD" w:rsidP="00F15650">
      <w:r w:rsidRPr="00574FC6">
        <w:t>An incorporated committee’s official signature on legal documents, such as contracts, is its corporate seal.</w:t>
      </w:r>
    </w:p>
    <w:p w:rsidR="008232FD" w:rsidRPr="00574FC6" w:rsidRDefault="00D35879" w:rsidP="00F15650">
      <w:pPr>
        <w:pStyle w:val="Heading2"/>
      </w:pPr>
      <w:r>
        <w:t>5</w:t>
      </w:r>
      <w:r w:rsidR="008232FD" w:rsidRPr="00574FC6">
        <w:t>.</w:t>
      </w:r>
      <w:r>
        <w:t>2</w:t>
      </w:r>
      <w:r w:rsidR="008232FD" w:rsidRPr="00574FC6">
        <w:tab/>
        <w:t>Dealing with public complaints</w:t>
      </w:r>
      <w:bookmarkEnd w:id="5"/>
      <w:bookmarkEnd w:id="6"/>
    </w:p>
    <w:p w:rsidR="008232FD" w:rsidRPr="00B82219" w:rsidRDefault="008232FD" w:rsidP="00F15650">
      <w:pPr>
        <w:rPr>
          <w:lang w:eastAsia="en-AU"/>
        </w:rPr>
      </w:pPr>
      <w:r w:rsidRPr="00B82219">
        <w:rPr>
          <w:lang w:eastAsia="en-AU"/>
        </w:rPr>
        <w:t xml:space="preserve">At some stage, a committee may receive a complaint from a member of the public about something it did or did not do. Most of these complaints will be resolved fairly easily and to everyone’s satisfaction. Remember that the complaint, decisions and actions of the committee in response, and whether the person was satisfied with the outcome should be recorded. The committee will need to contact its local DELWP office with problems that prove more difficult to resolve. </w:t>
      </w:r>
    </w:p>
    <w:p w:rsidR="008232FD" w:rsidRPr="00B82219" w:rsidRDefault="008232FD" w:rsidP="00F15650">
      <w:pPr>
        <w:rPr>
          <w:lang w:eastAsia="en-AU"/>
        </w:rPr>
      </w:pPr>
      <w:r w:rsidRPr="00B82219">
        <w:rPr>
          <w:lang w:eastAsia="en-AU"/>
        </w:rPr>
        <w:t>From time to time, DELWP receives complaints from members of the public, or a member of the committee itself, about how the committee is operating.  Depending on the nature of the complaint, DELWP may work with the committee to resolve the issue, conduct an investigation, or refer the allegation to the Ombudsman, Independent Broad-based Anti-corruption Commission or Victoria Police.</w:t>
      </w:r>
    </w:p>
    <w:p w:rsidR="008232FD" w:rsidRPr="00F15650" w:rsidRDefault="008232FD" w:rsidP="00F15650">
      <w:pPr>
        <w:pStyle w:val="HB"/>
      </w:pPr>
      <w:r w:rsidRPr="00F15650">
        <w:t>The Victorian Ombudsman</w:t>
      </w:r>
    </w:p>
    <w:p w:rsidR="008232FD" w:rsidRPr="00B82219" w:rsidRDefault="008232FD" w:rsidP="00F15650">
      <w:pPr>
        <w:rPr>
          <w:color w:val="C21212"/>
          <w:lang w:eastAsia="en-AU"/>
        </w:rPr>
      </w:pPr>
      <w:r w:rsidRPr="00B82219">
        <w:rPr>
          <w:lang w:eastAsia="en-AU"/>
        </w:rPr>
        <w:t>The Victorian Ombudsman investigates complaints about administrative actions by government agencies and public authorities.  Members of the public may complain to the Ombudsman about decisions of committees. The Ombudsman investigates where a complaint or allegation is unfair or unlawful.</w:t>
      </w:r>
    </w:p>
    <w:p w:rsidR="008232FD" w:rsidRPr="00F15650" w:rsidRDefault="008232FD" w:rsidP="00F15650">
      <w:pPr>
        <w:pStyle w:val="HB"/>
      </w:pPr>
      <w:r w:rsidRPr="00F15650">
        <w:t xml:space="preserve">Protected disclosures and Independent Broad-based Anti-corruption Commission </w:t>
      </w:r>
      <w:r w:rsidR="008C76E6">
        <w:t>(IBAC)</w:t>
      </w:r>
    </w:p>
    <w:p w:rsidR="008232FD" w:rsidRPr="00B82219" w:rsidRDefault="008232FD" w:rsidP="00F15650">
      <w:pPr>
        <w:rPr>
          <w:lang w:eastAsia="en-AU"/>
        </w:rPr>
      </w:pPr>
      <w:r w:rsidRPr="00B82219">
        <w:rPr>
          <w:lang w:eastAsia="en-AU"/>
        </w:rPr>
        <w:t xml:space="preserve">The </w:t>
      </w:r>
      <w:r w:rsidRPr="00B82219">
        <w:rPr>
          <w:i/>
          <w:iCs/>
          <w:lang w:eastAsia="en-AU"/>
        </w:rPr>
        <w:t>Protected Disclosure Act 2012</w:t>
      </w:r>
      <w:r w:rsidRPr="00B82219">
        <w:rPr>
          <w:lang w:eastAsia="en-AU"/>
        </w:rPr>
        <w:t xml:space="preserve"> provides protection from reprisal for individuals known as whistleblowers who wish to make a disclosure about serious misconduct or corruption by a government agency or a public body such as a committee of management.</w:t>
      </w:r>
    </w:p>
    <w:p w:rsidR="008232FD" w:rsidRPr="00B82219" w:rsidRDefault="008232FD" w:rsidP="00F15650">
      <w:pPr>
        <w:rPr>
          <w:lang w:eastAsia="en-AU"/>
        </w:rPr>
      </w:pPr>
      <w:r w:rsidRPr="00B82219">
        <w:rPr>
          <w:lang w:eastAsia="en-AU"/>
        </w:rPr>
        <w:t xml:space="preserve">A disclosure is made directly to the </w:t>
      </w:r>
      <w:r w:rsidRPr="00574FC6">
        <w:rPr>
          <w:szCs w:val="22"/>
        </w:rPr>
        <w:t>Independent Broad-based Anti-corruption Commission</w:t>
      </w:r>
      <w:r w:rsidRPr="00B82219">
        <w:rPr>
          <w:lang w:eastAsia="en-AU"/>
        </w:rPr>
        <w:t xml:space="preserve"> (</w:t>
      </w:r>
      <w:r w:rsidRPr="00574FC6">
        <w:rPr>
          <w:lang w:eastAsia="en-AU"/>
        </w:rPr>
        <w:t>IBAC</w:t>
      </w:r>
      <w:r w:rsidRPr="00B82219">
        <w:rPr>
          <w:lang w:eastAsia="en-AU"/>
        </w:rPr>
        <w:t xml:space="preserve">).  It can be made by a member of the public or a member of the committee itself.  In order for the whistleblower to be </w:t>
      </w:r>
      <w:r w:rsidRPr="00B82219">
        <w:rPr>
          <w:lang w:eastAsia="en-AU"/>
        </w:rPr>
        <w:lastRenderedPageBreak/>
        <w:t>protected, they must keep their disclosure confidential (not talk to anyone about it) and make it directly and only to IBAC, in accordance with the Act.</w:t>
      </w:r>
    </w:p>
    <w:p w:rsidR="008232FD" w:rsidRPr="00B82219" w:rsidRDefault="00AA0EF2" w:rsidP="00F15650">
      <w:pPr>
        <w:rPr>
          <w:lang w:eastAsia="en-AU"/>
        </w:rPr>
      </w:pPr>
      <w:r w:rsidRPr="00574FC6">
        <w:rPr>
          <w:noProof/>
          <w:lang w:eastAsia="en-AU"/>
        </w:rPr>
        <mc:AlternateContent>
          <mc:Choice Requires="wps">
            <w:drawing>
              <wp:anchor distT="45720" distB="45720" distL="114300" distR="114300" simplePos="0" relativeHeight="251659264" behindDoc="0" locked="0" layoutInCell="1" allowOverlap="1" wp14:anchorId="607A3F6D" wp14:editId="4CE02F95">
                <wp:simplePos x="0" y="0"/>
                <wp:positionH relativeFrom="column">
                  <wp:posOffset>3306445</wp:posOffset>
                </wp:positionH>
                <wp:positionV relativeFrom="paragraph">
                  <wp:posOffset>285750</wp:posOffset>
                </wp:positionV>
                <wp:extent cx="2720340" cy="1989455"/>
                <wp:effectExtent l="0" t="0" r="381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989455"/>
                        </a:xfrm>
                        <a:prstGeom prst="rect">
                          <a:avLst/>
                        </a:prstGeom>
                        <a:solidFill>
                          <a:srgbClr val="DCDDDE"/>
                        </a:solidFill>
                        <a:ln>
                          <a:noFill/>
                        </a:ln>
                        <a:extLst/>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tblGrid>
                            <w:tr w:rsidR="008232FD" w:rsidRPr="00C72B74" w:rsidTr="00194A84">
                              <w:trPr>
                                <w:jc w:val="center"/>
                              </w:trPr>
                              <w:tc>
                                <w:tcPr>
                                  <w:tcW w:w="4155" w:type="dxa"/>
                                </w:tcPr>
                                <w:p w:rsidR="008232FD" w:rsidRPr="00F15650" w:rsidRDefault="008232FD" w:rsidP="006A0A2D">
                                  <w:pPr>
                                    <w:pStyle w:val="Body"/>
                                    <w:spacing w:after="60"/>
                                    <w:rPr>
                                      <w:b/>
                                      <w:sz w:val="17"/>
                                      <w:szCs w:val="17"/>
                                    </w:rPr>
                                  </w:pPr>
                                  <w:r w:rsidRPr="00AA0EF2">
                                    <w:rPr>
                                      <w:b/>
                                      <w:sz w:val="8"/>
                                      <w:szCs w:val="8"/>
                                    </w:rPr>
                                    <w:br/>
                                  </w:r>
                                  <w:r w:rsidRPr="00F15650">
                                    <w:rPr>
                                      <w:b/>
                                      <w:sz w:val="17"/>
                                      <w:szCs w:val="17"/>
                                    </w:rPr>
                                    <w:t>Public records</w:t>
                                  </w:r>
                                  <w:r w:rsidR="006A0A2D">
                                    <w:rPr>
                                      <w:b/>
                                      <w:sz w:val="17"/>
                                      <w:szCs w:val="17"/>
                                    </w:rPr>
                                    <w:t xml:space="preserve"> that must be maintained by a committee include</w:t>
                                  </w:r>
                                  <w:r w:rsidRPr="00F15650">
                                    <w:rPr>
                                      <w:b/>
                                      <w:sz w:val="17"/>
                                      <w:szCs w:val="17"/>
                                    </w:rPr>
                                    <w:t>, but are not limited to:</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Minutes of meetings</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Correspondence</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Tenure agreements</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Financial records</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Contracts</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Employment records</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Any other information that documents a decision, agreement or communication to the public made by the committee</w:t>
                                  </w:r>
                                </w:p>
                              </w:tc>
                            </w:tr>
                          </w:tbl>
                          <w:p w:rsidR="008232FD" w:rsidRPr="00AA0EF2" w:rsidRDefault="008232FD" w:rsidP="00AA0EF2">
                            <w:pPr>
                              <w:pStyle w:val="Body"/>
                              <w:spacing w:after="0"/>
                              <w:rPr>
                                <w:sz w:val="8"/>
                                <w:szCs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35pt;margin-top:22.5pt;width:214.2pt;height:15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" fillcolor="#dcddde" stroked="f">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tblGrid>
                      <w:tr w:rsidR="008232FD" w:rsidRPr="00C72B74" w:rsidTr="00194A84">
                        <w:trPr>
                          <w:jc w:val="center"/>
                        </w:trPr>
                        <w:tc>
                          <w:tcPr>
                            <w:tcW w:w="4155" w:type="dxa"/>
                          </w:tcPr>
                          <w:p w:rsidR="008232FD" w:rsidRPr="00F15650" w:rsidRDefault="008232FD" w:rsidP="006A0A2D">
                            <w:pPr>
                              <w:pStyle w:val="Body"/>
                              <w:spacing w:after="60"/>
                              <w:rPr>
                                <w:b/>
                                <w:sz w:val="17"/>
                                <w:szCs w:val="17"/>
                              </w:rPr>
                            </w:pPr>
                            <w:r w:rsidRPr="00AA0EF2">
                              <w:rPr>
                                <w:b/>
                                <w:sz w:val="8"/>
                                <w:szCs w:val="8"/>
                              </w:rPr>
                              <w:br/>
                            </w:r>
                            <w:r w:rsidRPr="00F15650">
                              <w:rPr>
                                <w:b/>
                                <w:sz w:val="17"/>
                                <w:szCs w:val="17"/>
                              </w:rPr>
                              <w:t>Public records</w:t>
                            </w:r>
                            <w:r w:rsidR="006A0A2D">
                              <w:rPr>
                                <w:b/>
                                <w:sz w:val="17"/>
                                <w:szCs w:val="17"/>
                              </w:rPr>
                              <w:t xml:space="preserve"> that must be maintained by a committee include</w:t>
                            </w:r>
                            <w:r w:rsidRPr="00F15650">
                              <w:rPr>
                                <w:b/>
                                <w:sz w:val="17"/>
                                <w:szCs w:val="17"/>
                              </w:rPr>
                              <w:t>, but are not limited to:</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Minutes of meetings</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Correspondence</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Tenure agreements</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Financial records</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Contracts</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Employment records</w:t>
                            </w:r>
                          </w:p>
                        </w:tc>
                      </w:tr>
                      <w:tr w:rsidR="008232FD" w:rsidRPr="00C72B74" w:rsidTr="00194A84">
                        <w:trPr>
                          <w:jc w:val="center"/>
                        </w:trPr>
                        <w:tc>
                          <w:tcPr>
                            <w:tcW w:w="4155" w:type="dxa"/>
                          </w:tcPr>
                          <w:p w:rsidR="008232FD" w:rsidRPr="00AA0EF2" w:rsidRDefault="008232FD" w:rsidP="00AA0EF2">
                            <w:pPr>
                              <w:pStyle w:val="Bullet"/>
                              <w:numPr>
                                <w:ilvl w:val="0"/>
                                <w:numId w:val="15"/>
                              </w:numPr>
                              <w:spacing w:after="40"/>
                              <w:ind w:left="357" w:hanging="357"/>
                              <w:rPr>
                                <w:color w:val="auto"/>
                                <w:sz w:val="16"/>
                                <w:szCs w:val="16"/>
                              </w:rPr>
                            </w:pPr>
                            <w:r w:rsidRPr="00AA0EF2">
                              <w:rPr>
                                <w:color w:val="auto"/>
                                <w:sz w:val="16"/>
                                <w:szCs w:val="16"/>
                              </w:rPr>
                              <w:t>Any other information that documents a decision, agreement or communication to the public made by the committee</w:t>
                            </w:r>
                          </w:p>
                        </w:tc>
                      </w:tr>
                    </w:tbl>
                    <w:p w:rsidR="008232FD" w:rsidRPr="00AA0EF2" w:rsidRDefault="008232FD" w:rsidP="00AA0EF2">
                      <w:pPr>
                        <w:pStyle w:val="Body"/>
                        <w:spacing w:after="0"/>
                        <w:rPr>
                          <w:sz w:val="8"/>
                          <w:szCs w:val="8"/>
                        </w:rPr>
                      </w:pPr>
                    </w:p>
                  </w:txbxContent>
                </v:textbox>
                <w10:wrap type="square"/>
              </v:shape>
            </w:pict>
          </mc:Fallback>
        </mc:AlternateContent>
      </w:r>
      <w:r w:rsidR="008232FD" w:rsidRPr="00B82219">
        <w:rPr>
          <w:lang w:eastAsia="en-AU"/>
        </w:rPr>
        <w:t>IBAC will assess the disclosure and, if appropriate, refer it to the Ombudsman or Victoria Police. For further information visit the</w:t>
      </w:r>
      <w:hyperlink r:id="rId9" w:history="1">
        <w:r w:rsidR="008232FD" w:rsidRPr="00B82219">
          <w:rPr>
            <w:color w:val="0000FF"/>
            <w:u w:val="single"/>
            <w:lang w:eastAsia="en-AU"/>
          </w:rPr>
          <w:t xml:space="preserve"> IBAC website</w:t>
        </w:r>
      </w:hyperlink>
      <w:r w:rsidR="008232FD" w:rsidRPr="00B82219">
        <w:rPr>
          <w:lang w:eastAsia="en-AU"/>
        </w:rPr>
        <w:t xml:space="preserve"> or call 1300 735 135.</w:t>
      </w:r>
    </w:p>
    <w:p w:rsidR="008232FD" w:rsidRPr="00574FC6" w:rsidRDefault="00D35879" w:rsidP="00F15650">
      <w:pPr>
        <w:pStyle w:val="Heading2"/>
      </w:pPr>
      <w:r>
        <w:t>5</w:t>
      </w:r>
      <w:r w:rsidR="008232FD" w:rsidRPr="00F15650">
        <w:t>.</w:t>
      </w:r>
      <w:r>
        <w:t>3</w:t>
      </w:r>
      <w:r w:rsidR="008232FD" w:rsidRPr="00574FC6">
        <w:rPr>
          <w:color w:val="F58426"/>
        </w:rPr>
        <w:tab/>
      </w:r>
      <w:bookmarkStart w:id="7" w:name="_Toc380503602"/>
      <w:bookmarkStart w:id="8" w:name="_Toc382289681"/>
      <w:r w:rsidR="008232FD" w:rsidRPr="00574FC6">
        <w:t>Record keeping</w:t>
      </w:r>
      <w:bookmarkEnd w:id="7"/>
      <w:bookmarkEnd w:id="8"/>
    </w:p>
    <w:p w:rsidR="008232FD" w:rsidRPr="00B82219" w:rsidRDefault="008232FD" w:rsidP="00F15650">
      <w:r w:rsidRPr="00B82219">
        <w:t xml:space="preserve">Committees of management have a responsibility to maintain good records of their activities for legal purposes. Sound recordkeeping is an essential part of good practice for committees. In addition to the </w:t>
      </w:r>
      <w:r w:rsidRPr="00B82219">
        <w:rPr>
          <w:i/>
        </w:rPr>
        <w:t>Crown Land (Reserves) Act 1978</w:t>
      </w:r>
      <w:r w:rsidRPr="00B82219">
        <w:t xml:space="preserve">, record keeping obligations fall under the </w:t>
      </w:r>
      <w:r w:rsidRPr="00B82219">
        <w:rPr>
          <w:i/>
        </w:rPr>
        <w:t>Freedom of Information Act 1982</w:t>
      </w:r>
      <w:r w:rsidRPr="00B82219">
        <w:t xml:space="preserve"> (the FOI Act), the</w:t>
      </w:r>
      <w:r w:rsidRPr="00B82219">
        <w:rPr>
          <w:rStyle w:val="italic"/>
          <w:iCs/>
          <w:spacing w:val="-2"/>
        </w:rPr>
        <w:t xml:space="preserve"> </w:t>
      </w:r>
      <w:r w:rsidRPr="00B82219">
        <w:rPr>
          <w:i/>
        </w:rPr>
        <w:t>Public Records Act 1973</w:t>
      </w:r>
      <w:r w:rsidRPr="00B82219">
        <w:t xml:space="preserve"> and the </w:t>
      </w:r>
      <w:r w:rsidRPr="00B82219">
        <w:rPr>
          <w:i/>
          <w:iCs/>
          <w:lang w:eastAsia="en-AU"/>
        </w:rPr>
        <w:t>Privacy and Data Protection Act 2014</w:t>
      </w:r>
      <w:r w:rsidRPr="00B82219">
        <w:rPr>
          <w:i/>
        </w:rPr>
        <w:t>.</w:t>
      </w:r>
    </w:p>
    <w:p w:rsidR="008232FD" w:rsidRPr="00D32685" w:rsidRDefault="008232FD" w:rsidP="00D32685">
      <w:pPr>
        <w:pStyle w:val="HB"/>
      </w:pPr>
      <w:r w:rsidRPr="00D32685">
        <w:t>What constitutes a committee record?</w:t>
      </w:r>
    </w:p>
    <w:p w:rsidR="008232FD" w:rsidRPr="00B82219" w:rsidRDefault="008232FD" w:rsidP="00D32685">
      <w:r w:rsidRPr="00B82219">
        <w:t xml:space="preserve">Records are evidence of business conducted by an organisation.  Under the </w:t>
      </w:r>
      <w:r w:rsidRPr="00B82219">
        <w:rPr>
          <w:i/>
        </w:rPr>
        <w:t>Public Records Act 1973</w:t>
      </w:r>
      <w:r w:rsidRPr="00B82219">
        <w:t>, committees of management are considered to be public bodies and the records of the committee are public records, regardless of the status or age of the records.</w:t>
      </w:r>
    </w:p>
    <w:p w:rsidR="008232FD" w:rsidRPr="00B82219" w:rsidRDefault="008232FD" w:rsidP="00D32685">
      <w:r w:rsidRPr="00B82219">
        <w:t>Records can come in many formats such as written notes or letters, emails, word or excel documents, photographs, information on websites, etc. It is the information that is included that determines whether it needs to be preserved as a record, not the format.</w:t>
      </w:r>
    </w:p>
    <w:p w:rsidR="008232FD" w:rsidRPr="00D32685" w:rsidRDefault="008232FD" w:rsidP="00D32685">
      <w:pPr>
        <w:pStyle w:val="HC"/>
      </w:pPr>
      <w:r w:rsidRPr="00D32685">
        <w:t xml:space="preserve">Normal administrative practice (NAP) </w:t>
      </w:r>
    </w:p>
    <w:p w:rsidR="008232FD" w:rsidRPr="00574FC6" w:rsidRDefault="008232FD" w:rsidP="00D32685">
      <w:r w:rsidRPr="00B82219">
        <w:t xml:space="preserve">Some information </w:t>
      </w:r>
      <w:r w:rsidRPr="00574FC6">
        <w:t>produced or collected by a committee does not constitute a</w:t>
      </w:r>
      <w:r w:rsidRPr="00B82219">
        <w:t xml:space="preserve"> committee record</w:t>
      </w:r>
      <w:r w:rsidRPr="00574FC6">
        <w:t>, and should not be treated as such</w:t>
      </w:r>
      <w:r w:rsidRPr="00B82219">
        <w:t xml:space="preserve">. </w:t>
      </w:r>
      <w:r w:rsidRPr="00574FC6">
        <w:t xml:space="preserve"> This includes working notes, duplicate copies, reference material collected from books, the internet, and newspapers, and so forth.  </w:t>
      </w:r>
    </w:p>
    <w:p w:rsidR="008232FD" w:rsidRPr="00B82219" w:rsidRDefault="008232FD" w:rsidP="00D32685">
      <w:r w:rsidRPr="00574FC6">
        <w:t xml:space="preserve">Information which is not a committee record should be disposed of under Normal Administrative Practice (NAP) once its use is completed.  </w:t>
      </w:r>
      <w:r w:rsidRPr="00B82219">
        <w:t xml:space="preserve">Avoid mixing </w:t>
      </w:r>
      <w:r w:rsidRPr="00574FC6">
        <w:t xml:space="preserve">too much </w:t>
      </w:r>
      <w:r w:rsidRPr="00B82219">
        <w:t xml:space="preserve">NAP material </w:t>
      </w:r>
      <w:r w:rsidRPr="00574FC6">
        <w:t xml:space="preserve">in </w:t>
      </w:r>
      <w:r w:rsidRPr="00B82219">
        <w:t>with committee records, as this make</w:t>
      </w:r>
      <w:r w:rsidRPr="00574FC6">
        <w:t>s</w:t>
      </w:r>
      <w:r w:rsidRPr="00B82219">
        <w:t xml:space="preserve"> it difficult to manage </w:t>
      </w:r>
      <w:r w:rsidRPr="00574FC6">
        <w:t xml:space="preserve">committee </w:t>
      </w:r>
      <w:r w:rsidRPr="00B82219">
        <w:t>records</w:t>
      </w:r>
      <w:r w:rsidRPr="00574FC6">
        <w:t xml:space="preserve"> efficiently.  Failing to dispose of NAP material when its use is completed also makes it difficult </w:t>
      </w:r>
      <w:r w:rsidRPr="00B82219">
        <w:t xml:space="preserve">for future </w:t>
      </w:r>
      <w:r w:rsidRPr="00574FC6">
        <w:t xml:space="preserve">committee members </w:t>
      </w:r>
      <w:r w:rsidRPr="00B82219">
        <w:t xml:space="preserve">to </w:t>
      </w:r>
      <w:r w:rsidRPr="00574FC6">
        <w:t>locate the committee’s records amongst it</w:t>
      </w:r>
      <w:r w:rsidRPr="00B82219">
        <w:t>.</w:t>
      </w:r>
    </w:p>
    <w:p w:rsidR="008232FD" w:rsidRPr="00B82219" w:rsidRDefault="008232FD" w:rsidP="00D32685">
      <w:r w:rsidRPr="00B82219">
        <w:t>Usually</w:t>
      </w:r>
      <w:r w:rsidRPr="00574FC6">
        <w:t>,</w:t>
      </w:r>
      <w:r w:rsidRPr="00B82219">
        <w:t xml:space="preserve"> NAP materials can be disposed of in recycling or rubbish.  However, if any sensitive information is included</w:t>
      </w:r>
      <w:r w:rsidRPr="00574FC6">
        <w:t>, such as</w:t>
      </w:r>
      <w:r w:rsidRPr="00B82219">
        <w:t xml:space="preserve"> photocopies of employment details or contracts, it must be shredded or otherwise rendered unreadable before it is disposed of.</w:t>
      </w:r>
    </w:p>
    <w:p w:rsidR="003235F4" w:rsidRDefault="003235F4">
      <w:pPr>
        <w:spacing w:after="0" w:line="240" w:lineRule="auto"/>
        <w:rPr>
          <w:b/>
          <w:color w:val="228591"/>
          <w:sz w:val="24"/>
        </w:rPr>
      </w:pPr>
      <w:r>
        <w:br w:type="page"/>
      </w:r>
    </w:p>
    <w:p w:rsidR="008232FD" w:rsidRPr="00D32685" w:rsidRDefault="008232FD" w:rsidP="00D32685">
      <w:pPr>
        <w:pStyle w:val="HB"/>
      </w:pPr>
      <w:r w:rsidRPr="00D32685">
        <w:lastRenderedPageBreak/>
        <w:t>Creating and storing records</w:t>
      </w:r>
    </w:p>
    <w:p w:rsidR="008232FD" w:rsidRPr="00B82219" w:rsidRDefault="008232FD" w:rsidP="00D32685">
      <w:r w:rsidRPr="00B82219">
        <w:t>Records created must be full and accurate to enable future committee members to take appropriate action and make decisions, to protect the financial, legal and other rights of the committee, and to protect people affected by any actions and decisions made by the committee.</w:t>
      </w:r>
    </w:p>
    <w:p w:rsidR="008232FD" w:rsidRPr="00B82219" w:rsidRDefault="008232FD" w:rsidP="00D32685">
      <w:r w:rsidRPr="00B82219">
        <w:t>To ensure the committee creates full and accurate records, it is recommended that committee members:</w:t>
      </w:r>
    </w:p>
    <w:p w:rsidR="008232FD" w:rsidRPr="00B82219" w:rsidRDefault="008232FD" w:rsidP="00D32685">
      <w:pPr>
        <w:pStyle w:val="ListBullet"/>
      </w:pPr>
      <w:r w:rsidRPr="00B82219">
        <w:t>maintain a simple filing system using manila folders. On each file make sure to note:</w:t>
      </w:r>
    </w:p>
    <w:p w:rsidR="008232FD" w:rsidRPr="00B82219" w:rsidRDefault="008232FD" w:rsidP="00D32685">
      <w:pPr>
        <w:pStyle w:val="ListBullet2"/>
      </w:pPr>
      <w:r w:rsidRPr="00B82219">
        <w:t xml:space="preserve">a simple title which explains what the file is about (something like </w:t>
      </w:r>
      <w:proofErr w:type="spellStart"/>
      <w:r w:rsidRPr="00B82219">
        <w:rPr>
          <w:i/>
        </w:rPr>
        <w:t>Wombaloo</w:t>
      </w:r>
      <w:proofErr w:type="spellEnd"/>
      <w:r w:rsidRPr="00B82219">
        <w:rPr>
          <w:i/>
        </w:rPr>
        <w:t xml:space="preserve"> Mechanics Hall Committee - Committee meeting minutes - 2014 </w:t>
      </w:r>
      <w:r w:rsidRPr="00B82219">
        <w:t>is enough)</w:t>
      </w:r>
    </w:p>
    <w:p w:rsidR="008232FD" w:rsidRPr="00B82219" w:rsidRDefault="008232FD" w:rsidP="00D32685">
      <w:pPr>
        <w:pStyle w:val="ListBullet2"/>
      </w:pPr>
      <w:r w:rsidRPr="00B82219">
        <w:t>the date the file was created</w:t>
      </w:r>
    </w:p>
    <w:p w:rsidR="008232FD" w:rsidRPr="00B82219" w:rsidRDefault="008232FD" w:rsidP="00D32685">
      <w:pPr>
        <w:pStyle w:val="ListBullet2"/>
      </w:pPr>
      <w:r w:rsidRPr="00B82219">
        <w:t>the name of the person that created the file</w:t>
      </w:r>
    </w:p>
    <w:p w:rsidR="008232FD" w:rsidRPr="00B82219" w:rsidRDefault="008232FD" w:rsidP="00D32685">
      <w:pPr>
        <w:pStyle w:val="ListBullet"/>
      </w:pPr>
      <w:r w:rsidRPr="00B82219">
        <w:t>print any emails or electronic documents where practical and place them on the file. Note: if they are not printed, electronic versions will need to be kept and passed on to the next committee</w:t>
      </w:r>
    </w:p>
    <w:p w:rsidR="008232FD" w:rsidRPr="00B82219" w:rsidRDefault="008232FD" w:rsidP="00D32685">
      <w:pPr>
        <w:pStyle w:val="ListBullet"/>
      </w:pPr>
      <w:r w:rsidRPr="00B82219">
        <w:t>take notes of any important phone conversations and either formalise them in an email or table them at the next committee meeting</w:t>
      </w:r>
    </w:p>
    <w:p w:rsidR="008232FD" w:rsidRPr="00B82219" w:rsidRDefault="008232FD" w:rsidP="00D32685">
      <w:pPr>
        <w:pStyle w:val="ListBullet"/>
      </w:pPr>
      <w:r w:rsidRPr="00B82219">
        <w:t>make sure committee records are stored responsibly in a readily accessible, clean, dry and secure place, using a system that other people will be able to understand.</w:t>
      </w:r>
    </w:p>
    <w:p w:rsidR="008232FD" w:rsidRPr="00B82219" w:rsidRDefault="008232FD" w:rsidP="00D32685">
      <w:r w:rsidRPr="00B82219">
        <w:t>All committee records that are essential to its function, such as minutes and contracts, must be identified and special care taken to prevent their loss or damage. If possible, duplicates of such records should be made and stored at a different location to the originals.</w:t>
      </w:r>
    </w:p>
    <w:p w:rsidR="008232FD" w:rsidRPr="00D32685" w:rsidRDefault="008232FD" w:rsidP="00D32685">
      <w:pPr>
        <w:pStyle w:val="HB"/>
      </w:pPr>
      <w:bookmarkStart w:id="9" w:name="_Toc380503604"/>
      <w:bookmarkStart w:id="10" w:name="_Toc382289683"/>
      <w:r w:rsidRPr="00D32685">
        <w:t>Retention of records</w:t>
      </w:r>
      <w:bookmarkEnd w:id="9"/>
      <w:bookmarkEnd w:id="10"/>
    </w:p>
    <w:p w:rsidR="008232FD" w:rsidRPr="00574FC6" w:rsidRDefault="008232FD" w:rsidP="00D32685">
      <w:r w:rsidRPr="00B82219">
        <w:t xml:space="preserve">All records created by a committee are public documents.  </w:t>
      </w:r>
      <w:r w:rsidRPr="00574FC6">
        <w:t>C</w:t>
      </w:r>
      <w:r w:rsidRPr="00B82219">
        <w:t>ommittees may not destroy or allow the destruction of committee records in their custody.</w:t>
      </w:r>
      <w:r w:rsidRPr="00574FC6">
        <w:t xml:space="preserve">  Only NAP materials can be disposed of when no longer in use (see above.)</w:t>
      </w:r>
    </w:p>
    <w:p w:rsidR="008232FD" w:rsidRPr="00B82219" w:rsidRDefault="008232FD" w:rsidP="00D32685">
      <w:r w:rsidRPr="00574FC6">
        <w:t>Note that being a public document is different from being ‘open to the public’.  Committee records can only be viewed by members of the public if the committee agrees or if a successful application is made under freedom of inform</w:t>
      </w:r>
      <w:r w:rsidR="00400BE1">
        <w:t>ation laws.  For details, see ‘FOI - a</w:t>
      </w:r>
      <w:r w:rsidRPr="00574FC6">
        <w:t xml:space="preserve">ccess to records’, later in this chapter.  </w:t>
      </w:r>
    </w:p>
    <w:p w:rsidR="008232FD" w:rsidRPr="00D32685" w:rsidRDefault="008232FD" w:rsidP="00D32685">
      <w:pPr>
        <w:pStyle w:val="HB"/>
      </w:pPr>
      <w:r w:rsidRPr="00D32685">
        <w:t>Hand over of records from the outgoing committee to the incoming committee</w:t>
      </w:r>
    </w:p>
    <w:p w:rsidR="008232FD" w:rsidRPr="00574FC6" w:rsidRDefault="008232FD" w:rsidP="00D32685">
      <w:r w:rsidRPr="00B82219">
        <w:t xml:space="preserve">Committee </w:t>
      </w:r>
      <w:r w:rsidRPr="00574FC6">
        <w:t>records</w:t>
      </w:r>
      <w:r w:rsidRPr="00B82219">
        <w:t xml:space="preserve"> are not the property of the </w:t>
      </w:r>
      <w:r w:rsidRPr="00574FC6">
        <w:t xml:space="preserve">committee </w:t>
      </w:r>
      <w:r w:rsidRPr="00B82219">
        <w:t xml:space="preserve">members </w:t>
      </w:r>
      <w:r w:rsidRPr="00574FC6">
        <w:t xml:space="preserve">who </w:t>
      </w:r>
      <w:r w:rsidRPr="00B82219">
        <w:t xml:space="preserve">created them. </w:t>
      </w:r>
      <w:r w:rsidRPr="00574FC6">
        <w:t>An</w:t>
      </w:r>
      <w:r w:rsidRPr="00B82219">
        <w:t xml:space="preserve"> outgoing committee must </w:t>
      </w:r>
      <w:r w:rsidRPr="00574FC6">
        <w:t>hand over</w:t>
      </w:r>
      <w:r w:rsidRPr="00B82219">
        <w:t xml:space="preserve"> all committee records</w:t>
      </w:r>
      <w:r w:rsidRPr="00574FC6">
        <w:t xml:space="preserve"> in its custody </w:t>
      </w:r>
      <w:r w:rsidRPr="00B82219">
        <w:t xml:space="preserve">to the </w:t>
      </w:r>
      <w:r w:rsidRPr="00574FC6">
        <w:t xml:space="preserve">incoming </w:t>
      </w:r>
      <w:r w:rsidRPr="00B82219">
        <w:t xml:space="preserve">committee, so that </w:t>
      </w:r>
      <w:r w:rsidRPr="00574FC6">
        <w:t>the incoming committee can</w:t>
      </w:r>
      <w:r w:rsidRPr="00B82219">
        <w:t xml:space="preserve"> properly carry out </w:t>
      </w:r>
      <w:r w:rsidRPr="00574FC6">
        <w:t>its duties</w:t>
      </w:r>
      <w:r w:rsidRPr="00B82219">
        <w:t xml:space="preserve">. </w:t>
      </w:r>
      <w:r w:rsidRPr="00574FC6">
        <w:t xml:space="preserve"> For details, see ‘</w:t>
      </w:r>
      <w:r w:rsidR="00400BE1">
        <w:t>Outgoing committee – hand over process’ in chapter 2</w:t>
      </w:r>
      <w:r w:rsidRPr="00574FC6">
        <w:t>.</w:t>
      </w:r>
    </w:p>
    <w:p w:rsidR="008232FD" w:rsidRPr="00CE20FF" w:rsidRDefault="008232FD" w:rsidP="00CE20FF">
      <w:pPr>
        <w:pStyle w:val="HB"/>
      </w:pPr>
      <w:r w:rsidRPr="00CE20FF">
        <w:t>Transfer of records to DELWP</w:t>
      </w:r>
    </w:p>
    <w:p w:rsidR="008232FD" w:rsidRPr="00B82219" w:rsidRDefault="008232FD" w:rsidP="00CE20FF">
      <w:r w:rsidRPr="00B82219">
        <w:t xml:space="preserve">If a committee ceases to exist, all </w:t>
      </w:r>
      <w:r w:rsidRPr="00574FC6">
        <w:t xml:space="preserve">committee </w:t>
      </w:r>
      <w:r w:rsidRPr="00B82219">
        <w:t xml:space="preserve">records </w:t>
      </w:r>
      <w:r w:rsidRPr="00574FC6">
        <w:t xml:space="preserve">in its custody </w:t>
      </w:r>
      <w:r w:rsidRPr="00B82219">
        <w:t xml:space="preserve">must be </w:t>
      </w:r>
      <w:r w:rsidRPr="00574FC6">
        <w:t xml:space="preserve">transferred </w:t>
      </w:r>
      <w:r w:rsidRPr="00B82219">
        <w:t>to DELWP.  They will be stored for periods determined by the Public Records Office of Victoria (</w:t>
      </w:r>
      <w:proofErr w:type="spellStart"/>
      <w:r w:rsidRPr="00B82219">
        <w:t>PROV</w:t>
      </w:r>
      <w:proofErr w:type="spellEnd"/>
      <w:r w:rsidRPr="00B82219">
        <w:t xml:space="preserve">).  Some important records will be transferred </w:t>
      </w:r>
      <w:r w:rsidRPr="00574FC6">
        <w:t xml:space="preserve">by DELWP </w:t>
      </w:r>
      <w:r w:rsidRPr="00B82219">
        <w:t xml:space="preserve">to </w:t>
      </w:r>
      <w:proofErr w:type="spellStart"/>
      <w:r w:rsidRPr="00B82219">
        <w:t>PROV</w:t>
      </w:r>
      <w:proofErr w:type="spellEnd"/>
      <w:r w:rsidRPr="00B82219">
        <w:t>, to ensure their permanent preservation.</w:t>
      </w:r>
    </w:p>
    <w:p w:rsidR="008232FD" w:rsidRPr="00CE20FF" w:rsidRDefault="008232FD" w:rsidP="00CE20FF">
      <w:pPr>
        <w:pStyle w:val="HB"/>
      </w:pPr>
      <w:bookmarkStart w:id="11" w:name="_Toc378256315"/>
      <w:bookmarkStart w:id="12" w:name="_Toc380503605"/>
      <w:bookmarkStart w:id="13" w:name="_Toc382289684"/>
      <w:r w:rsidRPr="00CE20FF">
        <w:t>Financial records</w:t>
      </w:r>
      <w:bookmarkEnd w:id="11"/>
      <w:bookmarkEnd w:id="12"/>
      <w:bookmarkEnd w:id="13"/>
    </w:p>
    <w:p w:rsidR="008232FD" w:rsidRPr="00B82219" w:rsidRDefault="008232FD" w:rsidP="00CE20FF">
      <w:r w:rsidRPr="00B82219">
        <w:t xml:space="preserve">A committee must keep records of all its financial transactions. </w:t>
      </w:r>
    </w:p>
    <w:p w:rsidR="008232FD" w:rsidRPr="00B82219" w:rsidRDefault="008232FD" w:rsidP="00CE20FF">
      <w:pPr>
        <w:pStyle w:val="ListBullet"/>
      </w:pPr>
      <w:r w:rsidRPr="00B82219">
        <w:t xml:space="preserve">The Australian Taxation Office publishes </w:t>
      </w:r>
      <w:hyperlink r:id="rId10" w:history="1">
        <w:r w:rsidRPr="00B82219">
          <w:rPr>
            <w:rStyle w:val="Hyperlink"/>
          </w:rPr>
          <w:t>Record keeping for Small Businesses</w:t>
        </w:r>
      </w:hyperlink>
      <w:r w:rsidRPr="00B82219">
        <w:rPr>
          <w:rStyle w:val="Hyperlink"/>
        </w:rPr>
        <w:t xml:space="preserve"> </w:t>
      </w:r>
      <w:r w:rsidRPr="00B82219">
        <w:t xml:space="preserve"> (reference code NAT 3029)</w:t>
      </w:r>
      <w:r w:rsidR="007710B9" w:rsidRPr="00B82219">
        <w:t>, which</w:t>
      </w:r>
      <w:r w:rsidRPr="00B82219">
        <w:t xml:space="preserve"> is a good resource to assist in this task. </w:t>
      </w:r>
    </w:p>
    <w:p w:rsidR="008232FD" w:rsidRPr="00B82219" w:rsidRDefault="008232FD" w:rsidP="00CE20FF">
      <w:pPr>
        <w:pStyle w:val="ListBullet"/>
      </w:pPr>
      <w:r w:rsidRPr="00B82219">
        <w:t xml:space="preserve">Another helpful guide on record keeping for treasurers can be found on the </w:t>
      </w:r>
      <w:hyperlink r:id="rId11" w:history="1">
        <w:r w:rsidRPr="00B82219">
          <w:rPr>
            <w:rStyle w:val="Hyperlink"/>
          </w:rPr>
          <w:t>Our Community website</w:t>
        </w:r>
      </w:hyperlink>
      <w:r w:rsidRPr="00B82219">
        <w:t>.</w:t>
      </w:r>
    </w:p>
    <w:p w:rsidR="003235F4" w:rsidRDefault="003235F4">
      <w:pPr>
        <w:spacing w:after="0" w:line="240" w:lineRule="auto"/>
        <w:rPr>
          <w:b/>
          <w:color w:val="228591"/>
          <w:sz w:val="24"/>
        </w:rPr>
      </w:pPr>
      <w:bookmarkStart w:id="14" w:name="_Toc378256316"/>
      <w:bookmarkStart w:id="15" w:name="_Toc380503606"/>
      <w:bookmarkStart w:id="16" w:name="_Toc382289685"/>
      <w:r>
        <w:br w:type="page"/>
      </w:r>
    </w:p>
    <w:p w:rsidR="008232FD" w:rsidRPr="00CE20FF" w:rsidRDefault="00597547" w:rsidP="00CE20FF">
      <w:pPr>
        <w:pStyle w:val="HB"/>
      </w:pPr>
      <w:r>
        <w:lastRenderedPageBreak/>
        <w:t>Freedom of information (</w:t>
      </w:r>
      <w:r w:rsidR="00845B55">
        <w:t>FOI</w:t>
      </w:r>
      <w:r>
        <w:t>)</w:t>
      </w:r>
      <w:r w:rsidR="00845B55">
        <w:t xml:space="preserve"> – a</w:t>
      </w:r>
      <w:r w:rsidR="008232FD" w:rsidRPr="00CE20FF">
        <w:t>ccess to records</w:t>
      </w:r>
      <w:bookmarkEnd w:id="14"/>
      <w:bookmarkEnd w:id="15"/>
      <w:bookmarkEnd w:id="16"/>
      <w:r w:rsidR="00BA7013">
        <w:t xml:space="preserve"> </w:t>
      </w:r>
    </w:p>
    <w:p w:rsidR="008232FD" w:rsidRPr="00B82219" w:rsidRDefault="008232FD" w:rsidP="00CE20FF">
      <w:pPr>
        <w:rPr>
          <w:lang w:eastAsia="en-AU"/>
        </w:rPr>
      </w:pPr>
      <w:r w:rsidRPr="00B82219">
        <w:rPr>
          <w:lang w:eastAsia="en-AU"/>
        </w:rPr>
        <w:t xml:space="preserve">Under the </w:t>
      </w:r>
      <w:r w:rsidRPr="00B82219">
        <w:rPr>
          <w:i/>
          <w:iCs/>
          <w:lang w:eastAsia="en-AU"/>
        </w:rPr>
        <w:t xml:space="preserve">Freedom of Information Act 1982 </w:t>
      </w:r>
      <w:r w:rsidRPr="00B82219">
        <w:rPr>
          <w:lang w:eastAsia="en-AU"/>
        </w:rPr>
        <w:t xml:space="preserve">(FOI Act), the community has the right to request access to documents generated or held by all government agencies, including committees of management. </w:t>
      </w:r>
    </w:p>
    <w:p w:rsidR="008232FD" w:rsidRPr="00B82219" w:rsidRDefault="008232FD" w:rsidP="00CE20FF">
      <w:pPr>
        <w:rPr>
          <w:lang w:eastAsia="en-AU"/>
        </w:rPr>
      </w:pPr>
      <w:r w:rsidRPr="00B82219">
        <w:rPr>
          <w:lang w:eastAsia="en-AU"/>
        </w:rPr>
        <w:t xml:space="preserve">When a committee receives a request to access documents under the FOI Act it must seek advice from DELWP’s FOI Unit as soon as possible. The FOI Unit can be contacted on 9637 8186 or email </w:t>
      </w:r>
      <w:r w:rsidRPr="00B82219">
        <w:rPr>
          <w:u w:val="single"/>
          <w:lang w:eastAsia="en-AU"/>
        </w:rPr>
        <w:t>FOI.Unit@delwp.vic.gov.au</w:t>
      </w:r>
      <w:r w:rsidRPr="00B82219">
        <w:rPr>
          <w:lang w:eastAsia="en-AU"/>
        </w:rPr>
        <w:t>.</w:t>
      </w:r>
    </w:p>
    <w:p w:rsidR="008232FD" w:rsidRPr="00B82219" w:rsidRDefault="008232FD" w:rsidP="00CE20FF">
      <w:pPr>
        <w:rPr>
          <w:lang w:eastAsia="en-AU"/>
        </w:rPr>
      </w:pPr>
      <w:r w:rsidRPr="00B82219">
        <w:rPr>
          <w:lang w:eastAsia="en-AU"/>
        </w:rPr>
        <w:t>The FOI Unit will provide advice regarding any FOI enquiries and support for the processing</w:t>
      </w:r>
      <w:r w:rsidRPr="00B82219">
        <w:rPr>
          <w:b/>
          <w:bCs/>
          <w:lang w:eastAsia="en-AU"/>
        </w:rPr>
        <w:t xml:space="preserve"> </w:t>
      </w:r>
      <w:r w:rsidRPr="00B82219">
        <w:rPr>
          <w:lang w:eastAsia="en-AU"/>
        </w:rPr>
        <w:t>of requests. Cooperation in locating and providing relevant documents and advice in a timely manner is required as the FOI Act only provides 45 days in which to process a request.</w:t>
      </w:r>
    </w:p>
    <w:p w:rsidR="008232FD" w:rsidRPr="00CE20FF" w:rsidRDefault="008232FD" w:rsidP="00CE20FF">
      <w:pPr>
        <w:pStyle w:val="HB"/>
      </w:pPr>
      <w:bookmarkStart w:id="17" w:name="_Toc378256317"/>
      <w:bookmarkStart w:id="18" w:name="_Toc380503607"/>
      <w:bookmarkStart w:id="19" w:name="_Toc382289686"/>
      <w:r w:rsidRPr="00CE20FF">
        <w:t>P</w:t>
      </w:r>
      <w:r w:rsidR="005157A7">
        <w:t>rivacy - p</w:t>
      </w:r>
      <w:r w:rsidRPr="00CE20FF">
        <w:t>ersonal information</w:t>
      </w:r>
      <w:bookmarkEnd w:id="17"/>
      <w:bookmarkEnd w:id="18"/>
      <w:bookmarkEnd w:id="19"/>
    </w:p>
    <w:p w:rsidR="008232FD" w:rsidRPr="00B82219" w:rsidRDefault="008232FD" w:rsidP="00CE20FF">
      <w:pPr>
        <w:rPr>
          <w:lang w:eastAsia="en-AU"/>
        </w:rPr>
      </w:pPr>
      <w:r w:rsidRPr="00574FC6">
        <w:rPr>
          <w:lang w:eastAsia="en-AU"/>
        </w:rPr>
        <w:t xml:space="preserve">The </w:t>
      </w:r>
      <w:r w:rsidRPr="00574FC6">
        <w:rPr>
          <w:i/>
          <w:iCs/>
          <w:lang w:eastAsia="en-AU"/>
        </w:rPr>
        <w:t>Privacy and Data Protection Act 201</w:t>
      </w:r>
      <w:r w:rsidRPr="00B82219">
        <w:rPr>
          <w:i/>
          <w:iCs/>
          <w:lang w:eastAsia="en-AU"/>
        </w:rPr>
        <w:t>4</w:t>
      </w:r>
      <w:r w:rsidRPr="00574FC6">
        <w:rPr>
          <w:i/>
          <w:iCs/>
          <w:lang w:eastAsia="en-AU"/>
        </w:rPr>
        <w:t xml:space="preserve"> </w:t>
      </w:r>
      <w:r w:rsidRPr="00B82219">
        <w:rPr>
          <w:iCs/>
          <w:lang w:eastAsia="en-AU"/>
        </w:rPr>
        <w:t xml:space="preserve">requires a </w:t>
      </w:r>
      <w:r w:rsidRPr="00574FC6">
        <w:rPr>
          <w:lang w:eastAsia="en-AU"/>
        </w:rPr>
        <w:t>committee</w:t>
      </w:r>
      <w:r w:rsidRPr="00B82219">
        <w:rPr>
          <w:lang w:eastAsia="en-AU"/>
        </w:rPr>
        <w:t xml:space="preserve"> to</w:t>
      </w:r>
      <w:r w:rsidRPr="00574FC6">
        <w:rPr>
          <w:lang w:eastAsia="en-AU"/>
        </w:rPr>
        <w:t xml:space="preserve"> comply with</w:t>
      </w:r>
      <w:r w:rsidRPr="00B82219">
        <w:rPr>
          <w:lang w:eastAsia="en-AU"/>
        </w:rPr>
        <w:t xml:space="preserve"> the</w:t>
      </w:r>
      <w:r w:rsidR="00597547">
        <w:rPr>
          <w:lang w:eastAsia="en-AU"/>
        </w:rPr>
        <w:t xml:space="preserve"> ten</w:t>
      </w:r>
      <w:r w:rsidRPr="00574FC6">
        <w:rPr>
          <w:lang w:eastAsia="en-AU"/>
        </w:rPr>
        <w:t xml:space="preserve"> Information Privacy Principles</w:t>
      </w:r>
      <w:r w:rsidRPr="00B82219">
        <w:rPr>
          <w:lang w:eastAsia="en-AU"/>
        </w:rPr>
        <w:t xml:space="preserve"> in the Act, </w:t>
      </w:r>
      <w:r w:rsidRPr="00574FC6">
        <w:rPr>
          <w:lang w:eastAsia="en-AU"/>
        </w:rPr>
        <w:t xml:space="preserve">which can be found </w:t>
      </w:r>
      <w:r w:rsidRPr="00B82219">
        <w:rPr>
          <w:color w:val="000000"/>
          <w:lang w:eastAsia="en-AU"/>
        </w:rPr>
        <w:t xml:space="preserve">at </w:t>
      </w:r>
      <w:hyperlink r:id="rId12" w:history="1">
        <w:r w:rsidRPr="00B82219">
          <w:rPr>
            <w:color w:val="0000FF"/>
            <w:u w:val="single"/>
            <w:lang w:eastAsia="en-AU"/>
          </w:rPr>
          <w:t>Privacy Victoria</w:t>
        </w:r>
      </w:hyperlink>
      <w:r w:rsidRPr="00B82219">
        <w:rPr>
          <w:color w:val="000000" w:themeColor="text1"/>
          <w:lang w:eastAsia="en-AU"/>
        </w:rPr>
        <w:t>,</w:t>
      </w:r>
      <w:r w:rsidRPr="00B82219">
        <w:rPr>
          <w:color w:val="FF0000"/>
          <w:lang w:eastAsia="en-AU"/>
        </w:rPr>
        <w:t xml:space="preserve"> </w:t>
      </w:r>
      <w:r w:rsidRPr="00B82219">
        <w:rPr>
          <w:lang w:eastAsia="en-AU"/>
        </w:rPr>
        <w:t>when collecting, using, disclosing, storing or destroying personal information</w:t>
      </w:r>
      <w:r w:rsidRPr="00574FC6">
        <w:rPr>
          <w:lang w:eastAsia="en-AU"/>
        </w:rPr>
        <w:t xml:space="preserve">.  </w:t>
      </w:r>
    </w:p>
    <w:p w:rsidR="008232FD" w:rsidRPr="00B82219" w:rsidRDefault="008232FD" w:rsidP="00CE20FF">
      <w:pPr>
        <w:rPr>
          <w:color w:val="000000"/>
          <w:lang w:eastAsia="en-AU"/>
        </w:rPr>
      </w:pPr>
      <w:r w:rsidRPr="00574FC6">
        <w:rPr>
          <w:lang w:eastAsia="en-AU"/>
        </w:rPr>
        <w:t>Personal information means r</w:t>
      </w:r>
      <w:r w:rsidRPr="00B82219">
        <w:rPr>
          <w:color w:val="000000"/>
          <w:lang w:eastAsia="en-AU"/>
        </w:rPr>
        <w:t xml:space="preserve">ecorded information or opinion about an identifiable individual. Personal information includes name, address, sex, age, financial details, marital status, education, criminal record or employment history. </w:t>
      </w:r>
    </w:p>
    <w:p w:rsidR="008232FD" w:rsidRPr="008232FD" w:rsidRDefault="008232FD" w:rsidP="00CE20FF">
      <w:pPr>
        <w:rPr>
          <w:lang w:eastAsia="en-AU"/>
        </w:rPr>
      </w:pPr>
      <w:r w:rsidRPr="00B82219">
        <w:rPr>
          <w:color w:val="000000"/>
          <w:lang w:eastAsia="en-AU"/>
        </w:rPr>
        <w:t xml:space="preserve">It is good privacy practice not to include personal contact details on publicly available documents and registers, such as the volunteer attendance register (see chapter </w:t>
      </w:r>
      <w:r w:rsidR="003235F4">
        <w:rPr>
          <w:color w:val="000000"/>
          <w:lang w:eastAsia="en-AU"/>
        </w:rPr>
        <w:t>11</w:t>
      </w:r>
      <w:r w:rsidR="005B4558">
        <w:rPr>
          <w:color w:val="000000"/>
          <w:lang w:eastAsia="en-AU"/>
        </w:rPr>
        <w:t xml:space="preserve"> ‘Insurance’</w:t>
      </w:r>
      <w:r w:rsidRPr="00B82219">
        <w:rPr>
          <w:color w:val="000000"/>
          <w:lang w:eastAsia="en-AU"/>
        </w:rPr>
        <w:t>) without the person's permission</w:t>
      </w:r>
    </w:p>
    <w:bookmarkEnd w:id="3"/>
    <w:bookmarkEnd w:id="4"/>
    <w:p w:rsidR="00F250DA" w:rsidRPr="004512D6" w:rsidRDefault="00F250DA" w:rsidP="004512D6">
      <w:pPr>
        <w:spacing w:after="0" w:line="240" w:lineRule="auto"/>
        <w:rPr>
          <w:sz w:val="2"/>
          <w:szCs w:val="2"/>
        </w:rPr>
      </w:pPr>
    </w:p>
    <w:sectPr w:rsidR="00F250DA" w:rsidRPr="004512D6" w:rsidSect="00E86461">
      <w:headerReference w:type="even" r:id="rId13"/>
      <w:headerReference w:type="default" r:id="rId14"/>
      <w:footerReference w:type="even" r:id="rId15"/>
      <w:footerReference w:type="default" r:id="rId16"/>
      <w:headerReference w:type="first" r:id="rId17"/>
      <w:footerReference w:type="first" r:id="rId18"/>
      <w:pgSz w:w="11906" w:h="16838"/>
      <w:pgMar w:top="170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8C" w:rsidRDefault="009D538C" w:rsidP="00DE066B">
      <w:pPr>
        <w:spacing w:after="0" w:line="240" w:lineRule="auto"/>
      </w:pPr>
      <w:r>
        <w:separator/>
      </w:r>
    </w:p>
  </w:endnote>
  <w:endnote w:type="continuationSeparator" w:id="0">
    <w:p w:rsidR="009D538C" w:rsidRDefault="009D538C" w:rsidP="00DE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16" w:rsidRDefault="00230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90908"/>
      <w:docPartObj>
        <w:docPartGallery w:val="Page Numbers (Bottom of Page)"/>
        <w:docPartUnique/>
      </w:docPartObj>
    </w:sdtPr>
    <w:sdtEndPr/>
    <w:sdtContent>
      <w:sdt>
        <w:sdtPr>
          <w:id w:val="431089286"/>
          <w:docPartObj>
            <w:docPartGallery w:val="Page Numbers (Bottom of Page)"/>
            <w:docPartUnique/>
          </w:docPartObj>
        </w:sdtPr>
        <w:sdtEndPr>
          <w:rPr>
            <w:i/>
            <w:sz w:val="12"/>
            <w:szCs w:val="12"/>
          </w:rPr>
        </w:sdtEndPr>
        <w:sdtContent>
          <w:p w:rsidR="009D538C" w:rsidRPr="00CB7A99" w:rsidRDefault="00733376" w:rsidP="00230E16">
            <w:pPr>
              <w:tabs>
                <w:tab w:val="left" w:pos="993"/>
                <w:tab w:val="center" w:pos="4320"/>
                <w:tab w:val="left" w:pos="6237"/>
                <w:tab w:val="left" w:pos="6521"/>
                <w:tab w:val="right" w:pos="8640"/>
              </w:tabs>
              <w:spacing w:after="0" w:line="240" w:lineRule="auto"/>
              <w:rPr>
                <w:noProof/>
                <w:sz w:val="16"/>
                <w:szCs w:val="16"/>
              </w:rPr>
            </w:pPr>
            <w:r>
              <w:rPr>
                <w:i/>
                <w:noProof/>
                <w:sz w:val="12"/>
                <w:szCs w:val="12"/>
              </w:rPr>
              <w:t>5.2</w:t>
            </w:r>
            <w:r w:rsidR="00230E16">
              <w:rPr>
                <w:i/>
                <w:noProof/>
                <w:sz w:val="12"/>
                <w:szCs w:val="12"/>
              </w:rPr>
              <w:t>8</w:t>
            </w:r>
            <w:r w:rsidR="00CB7A99">
              <w:rPr>
                <w:noProof/>
                <w:sz w:val="16"/>
                <w:szCs w:val="16"/>
              </w:rPr>
              <w:tab/>
              <w:t xml:space="preserve">Chapter 5 – Good work practices </w:t>
            </w:r>
            <w:r w:rsidR="00CB7A99">
              <w:rPr>
                <w:noProof/>
                <w:sz w:val="16"/>
                <w:szCs w:val="16"/>
              </w:rPr>
              <w:tab/>
              <w:t xml:space="preserve">Page </w:t>
            </w:r>
            <w:r w:rsidR="00CB7A99" w:rsidRPr="008A5803">
              <w:rPr>
                <w:sz w:val="16"/>
                <w:szCs w:val="16"/>
              </w:rPr>
              <w:fldChar w:fldCharType="begin"/>
            </w:r>
            <w:r w:rsidR="00CB7A99" w:rsidRPr="008A5803">
              <w:rPr>
                <w:sz w:val="16"/>
                <w:szCs w:val="16"/>
              </w:rPr>
              <w:instrText xml:space="preserve"> PAGE   \* MERGEFORMAT </w:instrText>
            </w:r>
            <w:r w:rsidR="00CB7A99" w:rsidRPr="008A5803">
              <w:rPr>
                <w:sz w:val="16"/>
                <w:szCs w:val="16"/>
              </w:rPr>
              <w:fldChar w:fldCharType="separate"/>
            </w:r>
            <w:r w:rsidR="009D3BD9">
              <w:rPr>
                <w:noProof/>
                <w:sz w:val="16"/>
                <w:szCs w:val="16"/>
              </w:rPr>
              <w:t>2</w:t>
            </w:r>
            <w:r w:rsidR="00CB7A99" w:rsidRPr="008A5803">
              <w:rPr>
                <w:noProof/>
                <w:sz w:val="16"/>
                <w:szCs w:val="16"/>
              </w:rPr>
              <w:fldChar w:fldCharType="end"/>
            </w:r>
            <w:r w:rsidR="00CB7A99" w:rsidRPr="008A5803">
              <w:rPr>
                <w:noProof/>
                <w:sz w:val="16"/>
                <w:szCs w:val="16"/>
              </w:rPr>
              <w:t xml:space="preserve"> of </w:t>
            </w:r>
            <w:r w:rsidR="00CB7A99" w:rsidRPr="008A5803">
              <w:rPr>
                <w:noProof/>
                <w:sz w:val="16"/>
                <w:szCs w:val="16"/>
              </w:rPr>
              <w:fldChar w:fldCharType="begin"/>
            </w:r>
            <w:r w:rsidR="00CB7A99" w:rsidRPr="008A5803">
              <w:rPr>
                <w:noProof/>
                <w:sz w:val="16"/>
                <w:szCs w:val="16"/>
              </w:rPr>
              <w:instrText xml:space="preserve"> NUMPAGES   \* MERGEFORMAT </w:instrText>
            </w:r>
            <w:r w:rsidR="00CB7A99" w:rsidRPr="008A5803">
              <w:rPr>
                <w:noProof/>
                <w:sz w:val="16"/>
                <w:szCs w:val="16"/>
              </w:rPr>
              <w:fldChar w:fldCharType="separate"/>
            </w:r>
            <w:r w:rsidR="009D3BD9">
              <w:rPr>
                <w:noProof/>
                <w:sz w:val="16"/>
                <w:szCs w:val="16"/>
              </w:rPr>
              <w:t>4</w:t>
            </w:r>
            <w:r w:rsidR="00CB7A99" w:rsidRPr="008A5803">
              <w:rPr>
                <w:noProof/>
                <w:sz w:val="16"/>
                <w:szCs w:val="16"/>
              </w:rPr>
              <w:fldChar w:fldCharType="end"/>
            </w:r>
            <w:r w:rsidR="00CB7A99">
              <w:rPr>
                <w:noProof/>
                <w:sz w:val="16"/>
                <w:szCs w:val="16"/>
              </w:rPr>
              <w:tab/>
            </w:r>
            <w:r w:rsidR="00CB7A99">
              <w:rPr>
                <w:noProof/>
                <w:sz w:val="16"/>
                <w:szCs w:val="16"/>
              </w:rPr>
              <w:tab/>
            </w:r>
            <w:r w:rsidR="00230E16">
              <w:rPr>
                <w:noProof/>
                <w:sz w:val="16"/>
                <w:szCs w:val="16"/>
              </w:rPr>
              <w:tab/>
              <w:t>Last updated: 1 November 2015</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16" w:rsidRDefault="00230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8C" w:rsidRDefault="009D538C" w:rsidP="00DE066B">
      <w:pPr>
        <w:spacing w:after="0" w:line="240" w:lineRule="auto"/>
      </w:pPr>
      <w:r>
        <w:separator/>
      </w:r>
    </w:p>
  </w:footnote>
  <w:footnote w:type="continuationSeparator" w:id="0">
    <w:p w:rsidR="009D538C" w:rsidRDefault="009D538C" w:rsidP="00DE0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16" w:rsidRDefault="00230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8C" w:rsidRPr="008A3A42" w:rsidRDefault="009D538C" w:rsidP="008A3A42">
    <w:pPr>
      <w:pStyle w:val="Header"/>
      <w:rPr>
        <w:i/>
        <w:iCs/>
        <w:color w:val="808080" w:themeColor="text1" w:themeTint="7F"/>
      </w:rPr>
    </w:pPr>
    <w:r w:rsidRPr="0016015A">
      <w:rPr>
        <w:rStyle w:val="SubtleEmphasis"/>
      </w:rPr>
      <w:t>Committees of Management Responsibilities and Good Practice Guidelines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16" w:rsidRDefault="00230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0184E"/>
    <w:lvl w:ilvl="0">
      <w:start w:val="1"/>
      <w:numFmt w:val="decimal"/>
      <w:lvlText w:val="%1."/>
      <w:lvlJc w:val="left"/>
      <w:pPr>
        <w:tabs>
          <w:tab w:val="num" w:pos="1492"/>
        </w:tabs>
        <w:ind w:left="1492" w:hanging="360"/>
      </w:pPr>
    </w:lvl>
  </w:abstractNum>
  <w:abstractNum w:abstractNumId="1">
    <w:nsid w:val="FFFFFF7D"/>
    <w:multiLevelType w:val="singleLevel"/>
    <w:tmpl w:val="C88AD098"/>
    <w:lvl w:ilvl="0">
      <w:start w:val="1"/>
      <w:numFmt w:val="decimal"/>
      <w:lvlText w:val="%1."/>
      <w:lvlJc w:val="left"/>
      <w:pPr>
        <w:tabs>
          <w:tab w:val="num" w:pos="1209"/>
        </w:tabs>
        <w:ind w:left="1209" w:hanging="360"/>
      </w:pPr>
    </w:lvl>
  </w:abstractNum>
  <w:abstractNum w:abstractNumId="2">
    <w:nsid w:val="FFFFFF7E"/>
    <w:multiLevelType w:val="singleLevel"/>
    <w:tmpl w:val="F47CE6D8"/>
    <w:lvl w:ilvl="0">
      <w:start w:val="1"/>
      <w:numFmt w:val="decimal"/>
      <w:lvlText w:val="%1."/>
      <w:lvlJc w:val="left"/>
      <w:pPr>
        <w:tabs>
          <w:tab w:val="num" w:pos="926"/>
        </w:tabs>
        <w:ind w:left="926" w:hanging="360"/>
      </w:pPr>
    </w:lvl>
  </w:abstractNum>
  <w:abstractNum w:abstractNumId="3">
    <w:nsid w:val="FFFFFF7F"/>
    <w:multiLevelType w:val="singleLevel"/>
    <w:tmpl w:val="02C21F32"/>
    <w:lvl w:ilvl="0">
      <w:start w:val="1"/>
      <w:numFmt w:val="decimal"/>
      <w:lvlText w:val="%1."/>
      <w:lvlJc w:val="left"/>
      <w:pPr>
        <w:tabs>
          <w:tab w:val="num" w:pos="643"/>
        </w:tabs>
        <w:ind w:left="643" w:hanging="360"/>
      </w:pPr>
    </w:lvl>
  </w:abstractNum>
  <w:abstractNum w:abstractNumId="4">
    <w:nsid w:val="FFFFFF80"/>
    <w:multiLevelType w:val="singleLevel"/>
    <w:tmpl w:val="E2FEAD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88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ACCD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DE2BAE"/>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C282A064"/>
    <w:lvl w:ilvl="0">
      <w:start w:val="1"/>
      <w:numFmt w:val="decimal"/>
      <w:lvlText w:val="%1."/>
      <w:lvlJc w:val="left"/>
      <w:pPr>
        <w:tabs>
          <w:tab w:val="num" w:pos="360"/>
        </w:tabs>
        <w:ind w:left="360" w:hanging="360"/>
      </w:pPr>
    </w:lvl>
  </w:abstractNum>
  <w:abstractNum w:abstractNumId="9">
    <w:nsid w:val="FFFFFF89"/>
    <w:multiLevelType w:val="singleLevel"/>
    <w:tmpl w:val="9F783E82"/>
    <w:lvl w:ilvl="0">
      <w:start w:val="1"/>
      <w:numFmt w:val="bullet"/>
      <w:pStyle w:val="ListBullet"/>
      <w:lvlText w:val=""/>
      <w:lvlJc w:val="left"/>
      <w:pPr>
        <w:ind w:left="360" w:hanging="360"/>
      </w:pPr>
      <w:rPr>
        <w:rFonts w:ascii="Symbol" w:hAnsi="Symbol" w:hint="default"/>
      </w:rPr>
    </w:lvl>
  </w:abstractNum>
  <w:abstractNum w:abstractNumId="10">
    <w:nsid w:val="00FD260F"/>
    <w:multiLevelType w:val="hybridMultilevel"/>
    <w:tmpl w:val="6A804130"/>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1">
    <w:nsid w:val="0224537D"/>
    <w:multiLevelType w:val="hybridMultilevel"/>
    <w:tmpl w:val="62BC652E"/>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2">
    <w:nsid w:val="03AE6B5B"/>
    <w:multiLevelType w:val="hybridMultilevel"/>
    <w:tmpl w:val="A1BAD0A2"/>
    <w:lvl w:ilvl="0" w:tplc="4BB85A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81956F9"/>
    <w:multiLevelType w:val="hybridMultilevel"/>
    <w:tmpl w:val="141A8E04"/>
    <w:lvl w:ilvl="0" w:tplc="C27ED8FC">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670786"/>
    <w:multiLevelType w:val="hybridMultilevel"/>
    <w:tmpl w:val="97647742"/>
    <w:lvl w:ilvl="0" w:tplc="AD041F9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CCD58EF"/>
    <w:multiLevelType w:val="hybridMultilevel"/>
    <w:tmpl w:val="1A76983C"/>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6">
    <w:nsid w:val="1EDE7134"/>
    <w:multiLevelType w:val="hybridMultilevel"/>
    <w:tmpl w:val="5A9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1C5F74"/>
    <w:multiLevelType w:val="hybridMultilevel"/>
    <w:tmpl w:val="3B4C1B88"/>
    <w:lvl w:ilvl="0" w:tplc="A08823FC">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8">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55F4D36"/>
    <w:multiLevelType w:val="hybridMultilevel"/>
    <w:tmpl w:val="9FBC6A00"/>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0">
    <w:nsid w:val="4CC97CC8"/>
    <w:multiLevelType w:val="hybridMultilevel"/>
    <w:tmpl w:val="CDDAD0D2"/>
    <w:lvl w:ilvl="0" w:tplc="A08823FC">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1">
    <w:nsid w:val="5763405C"/>
    <w:multiLevelType w:val="hybridMultilevel"/>
    <w:tmpl w:val="8600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EFA3FBF"/>
    <w:multiLevelType w:val="hybridMultilevel"/>
    <w:tmpl w:val="6278F89A"/>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3"/>
  </w:num>
  <w:num w:numId="2">
    <w:abstractNumId w:val="16"/>
  </w:num>
  <w:num w:numId="3">
    <w:abstractNumId w:val="9"/>
  </w:num>
  <w:num w:numId="4">
    <w:abstractNumId w:val="13"/>
  </w:num>
  <w:num w:numId="5">
    <w:abstractNumId w:val="21"/>
  </w:num>
  <w:num w:numId="6">
    <w:abstractNumId w:val="7"/>
  </w:num>
  <w:num w:numId="7">
    <w:abstractNumId w:val="6"/>
  </w:num>
  <w:num w:numId="8">
    <w:abstractNumId w:val="8"/>
  </w:num>
  <w:num w:numId="9">
    <w:abstractNumId w:val="3"/>
  </w:num>
  <w:num w:numId="10">
    <w:abstractNumId w:val="5"/>
  </w:num>
  <w:num w:numId="11">
    <w:abstractNumId w:val="4"/>
  </w:num>
  <w:num w:numId="12">
    <w:abstractNumId w:val="2"/>
  </w:num>
  <w:num w:numId="13">
    <w:abstractNumId w:val="1"/>
  </w:num>
  <w:num w:numId="14">
    <w:abstractNumId w:val="0"/>
  </w:num>
  <w:num w:numId="15">
    <w:abstractNumId w:val="18"/>
  </w:num>
  <w:num w:numId="16">
    <w:abstractNumId w:val="23"/>
  </w:num>
  <w:num w:numId="17">
    <w:abstractNumId w:val="22"/>
  </w:num>
  <w:num w:numId="18">
    <w:abstractNumId w:val="24"/>
  </w:num>
  <w:num w:numId="19">
    <w:abstractNumId w:val="10"/>
  </w:num>
  <w:num w:numId="20">
    <w:abstractNumId w:val="20"/>
  </w:num>
  <w:num w:numId="21">
    <w:abstractNumId w:val="17"/>
  </w:num>
  <w:num w:numId="22">
    <w:abstractNumId w:val="9"/>
  </w:num>
  <w:num w:numId="23">
    <w:abstractNumId w:val="11"/>
  </w:num>
  <w:num w:numId="24">
    <w:abstractNumId w:val="19"/>
  </w:num>
  <w:num w:numId="25">
    <w:abstractNumId w:val="15"/>
  </w:num>
  <w:num w:numId="26">
    <w:abstractNumId w:val="9"/>
  </w:num>
  <w:num w:numId="27">
    <w:abstractNumId w:val="7"/>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6B"/>
    <w:rsid w:val="00002948"/>
    <w:rsid w:val="00002DE5"/>
    <w:rsid w:val="00005AAA"/>
    <w:rsid w:val="00021586"/>
    <w:rsid w:val="00027CC0"/>
    <w:rsid w:val="000325E5"/>
    <w:rsid w:val="00046A3B"/>
    <w:rsid w:val="000619BB"/>
    <w:rsid w:val="0008112C"/>
    <w:rsid w:val="000B644B"/>
    <w:rsid w:val="000C24EE"/>
    <w:rsid w:val="000C43B3"/>
    <w:rsid w:val="000E12CB"/>
    <w:rsid w:val="000E5861"/>
    <w:rsid w:val="00100D3E"/>
    <w:rsid w:val="001039FB"/>
    <w:rsid w:val="001106EA"/>
    <w:rsid w:val="00115DAB"/>
    <w:rsid w:val="00115F54"/>
    <w:rsid w:val="001225BD"/>
    <w:rsid w:val="001435BB"/>
    <w:rsid w:val="00152A7A"/>
    <w:rsid w:val="001531E9"/>
    <w:rsid w:val="0016015A"/>
    <w:rsid w:val="0016797B"/>
    <w:rsid w:val="001C471F"/>
    <w:rsid w:val="001E4578"/>
    <w:rsid w:val="001E7683"/>
    <w:rsid w:val="00220651"/>
    <w:rsid w:val="00220BA3"/>
    <w:rsid w:val="00226C88"/>
    <w:rsid w:val="00230E16"/>
    <w:rsid w:val="00243CCE"/>
    <w:rsid w:val="00247409"/>
    <w:rsid w:val="0025408B"/>
    <w:rsid w:val="00262211"/>
    <w:rsid w:val="00277AEF"/>
    <w:rsid w:val="0028627E"/>
    <w:rsid w:val="002B000A"/>
    <w:rsid w:val="002B11CC"/>
    <w:rsid w:val="002B2D98"/>
    <w:rsid w:val="002C3E51"/>
    <w:rsid w:val="0030469B"/>
    <w:rsid w:val="00313724"/>
    <w:rsid w:val="00322D10"/>
    <w:rsid w:val="003235F4"/>
    <w:rsid w:val="00341599"/>
    <w:rsid w:val="00360927"/>
    <w:rsid w:val="0036261B"/>
    <w:rsid w:val="00365FE1"/>
    <w:rsid w:val="00371B2B"/>
    <w:rsid w:val="00371DB7"/>
    <w:rsid w:val="003B34AB"/>
    <w:rsid w:val="003D0E2E"/>
    <w:rsid w:val="003D3251"/>
    <w:rsid w:val="003D4A58"/>
    <w:rsid w:val="003D7979"/>
    <w:rsid w:val="00400BE1"/>
    <w:rsid w:val="00422B3D"/>
    <w:rsid w:val="004512D6"/>
    <w:rsid w:val="004563E2"/>
    <w:rsid w:val="00470F6A"/>
    <w:rsid w:val="004A2E37"/>
    <w:rsid w:val="004B61AD"/>
    <w:rsid w:val="004B7E11"/>
    <w:rsid w:val="004C3DE7"/>
    <w:rsid w:val="004C4571"/>
    <w:rsid w:val="004C6201"/>
    <w:rsid w:val="004C65A4"/>
    <w:rsid w:val="004D0BA0"/>
    <w:rsid w:val="004F4205"/>
    <w:rsid w:val="00511753"/>
    <w:rsid w:val="005157A7"/>
    <w:rsid w:val="00531215"/>
    <w:rsid w:val="00542E06"/>
    <w:rsid w:val="00554528"/>
    <w:rsid w:val="005563F0"/>
    <w:rsid w:val="005641B0"/>
    <w:rsid w:val="005645B3"/>
    <w:rsid w:val="00565D5D"/>
    <w:rsid w:val="005732E0"/>
    <w:rsid w:val="00591BB0"/>
    <w:rsid w:val="00597547"/>
    <w:rsid w:val="005A609A"/>
    <w:rsid w:val="005B4558"/>
    <w:rsid w:val="005D5ECF"/>
    <w:rsid w:val="005E2F74"/>
    <w:rsid w:val="005E5367"/>
    <w:rsid w:val="00610B1E"/>
    <w:rsid w:val="006221DB"/>
    <w:rsid w:val="00677D66"/>
    <w:rsid w:val="006A04D5"/>
    <w:rsid w:val="006A0A2D"/>
    <w:rsid w:val="006B0B18"/>
    <w:rsid w:val="006B0D28"/>
    <w:rsid w:val="006C606C"/>
    <w:rsid w:val="006D764F"/>
    <w:rsid w:val="006F651E"/>
    <w:rsid w:val="007017AA"/>
    <w:rsid w:val="00701F1C"/>
    <w:rsid w:val="00716DDE"/>
    <w:rsid w:val="007175F7"/>
    <w:rsid w:val="00733376"/>
    <w:rsid w:val="00734984"/>
    <w:rsid w:val="00754CE9"/>
    <w:rsid w:val="00754E13"/>
    <w:rsid w:val="00770E23"/>
    <w:rsid w:val="007710B9"/>
    <w:rsid w:val="007A4A38"/>
    <w:rsid w:val="007B59DB"/>
    <w:rsid w:val="007C25F7"/>
    <w:rsid w:val="007C3165"/>
    <w:rsid w:val="007E5A53"/>
    <w:rsid w:val="007F1AF3"/>
    <w:rsid w:val="007F7E6D"/>
    <w:rsid w:val="0081383E"/>
    <w:rsid w:val="008232FD"/>
    <w:rsid w:val="00832F09"/>
    <w:rsid w:val="00835C6D"/>
    <w:rsid w:val="00840E1B"/>
    <w:rsid w:val="0084595F"/>
    <w:rsid w:val="00845B55"/>
    <w:rsid w:val="00863A62"/>
    <w:rsid w:val="00890251"/>
    <w:rsid w:val="00892FD6"/>
    <w:rsid w:val="00896AFD"/>
    <w:rsid w:val="008A3A42"/>
    <w:rsid w:val="008A5803"/>
    <w:rsid w:val="008C76E6"/>
    <w:rsid w:val="008D6C72"/>
    <w:rsid w:val="008E14CA"/>
    <w:rsid w:val="008F1898"/>
    <w:rsid w:val="008F536E"/>
    <w:rsid w:val="008F5E02"/>
    <w:rsid w:val="009145DA"/>
    <w:rsid w:val="00921C60"/>
    <w:rsid w:val="00934848"/>
    <w:rsid w:val="00942DE6"/>
    <w:rsid w:val="00953399"/>
    <w:rsid w:val="009536D1"/>
    <w:rsid w:val="009633D8"/>
    <w:rsid w:val="009C2AAE"/>
    <w:rsid w:val="009D3BD9"/>
    <w:rsid w:val="009D4527"/>
    <w:rsid w:val="009D538C"/>
    <w:rsid w:val="009D7944"/>
    <w:rsid w:val="009E009D"/>
    <w:rsid w:val="00A0335A"/>
    <w:rsid w:val="00A03E44"/>
    <w:rsid w:val="00A26AE3"/>
    <w:rsid w:val="00A26E66"/>
    <w:rsid w:val="00A32753"/>
    <w:rsid w:val="00A43896"/>
    <w:rsid w:val="00A82BC7"/>
    <w:rsid w:val="00A870F6"/>
    <w:rsid w:val="00A94A37"/>
    <w:rsid w:val="00AA0EF2"/>
    <w:rsid w:val="00AB6FCF"/>
    <w:rsid w:val="00AD191D"/>
    <w:rsid w:val="00AD4087"/>
    <w:rsid w:val="00AE0D1A"/>
    <w:rsid w:val="00AE6613"/>
    <w:rsid w:val="00AF5577"/>
    <w:rsid w:val="00AF7927"/>
    <w:rsid w:val="00B01C86"/>
    <w:rsid w:val="00B1493E"/>
    <w:rsid w:val="00B211F2"/>
    <w:rsid w:val="00B42E5E"/>
    <w:rsid w:val="00B43346"/>
    <w:rsid w:val="00B65B6F"/>
    <w:rsid w:val="00B77CA5"/>
    <w:rsid w:val="00B94E56"/>
    <w:rsid w:val="00BA1979"/>
    <w:rsid w:val="00BA7013"/>
    <w:rsid w:val="00BB4EDD"/>
    <w:rsid w:val="00BB72E8"/>
    <w:rsid w:val="00BC29D1"/>
    <w:rsid w:val="00BC5718"/>
    <w:rsid w:val="00BC78AC"/>
    <w:rsid w:val="00BC7B92"/>
    <w:rsid w:val="00BF65E5"/>
    <w:rsid w:val="00C0296B"/>
    <w:rsid w:val="00C0491B"/>
    <w:rsid w:val="00C05926"/>
    <w:rsid w:val="00C16C88"/>
    <w:rsid w:val="00C257B9"/>
    <w:rsid w:val="00C3737E"/>
    <w:rsid w:val="00C51684"/>
    <w:rsid w:val="00C6642A"/>
    <w:rsid w:val="00C96B9E"/>
    <w:rsid w:val="00CA1E34"/>
    <w:rsid w:val="00CA6DF3"/>
    <w:rsid w:val="00CB7A99"/>
    <w:rsid w:val="00CC770D"/>
    <w:rsid w:val="00CD0210"/>
    <w:rsid w:val="00CE20FF"/>
    <w:rsid w:val="00CE4525"/>
    <w:rsid w:val="00CF15B2"/>
    <w:rsid w:val="00D039B5"/>
    <w:rsid w:val="00D056B1"/>
    <w:rsid w:val="00D2099F"/>
    <w:rsid w:val="00D32685"/>
    <w:rsid w:val="00D35879"/>
    <w:rsid w:val="00D472E5"/>
    <w:rsid w:val="00D50920"/>
    <w:rsid w:val="00D52D29"/>
    <w:rsid w:val="00D62590"/>
    <w:rsid w:val="00D62874"/>
    <w:rsid w:val="00D72DAD"/>
    <w:rsid w:val="00D83BAB"/>
    <w:rsid w:val="00D95284"/>
    <w:rsid w:val="00D978A6"/>
    <w:rsid w:val="00DA1CEF"/>
    <w:rsid w:val="00DA3162"/>
    <w:rsid w:val="00DE066B"/>
    <w:rsid w:val="00DE453A"/>
    <w:rsid w:val="00DF03EA"/>
    <w:rsid w:val="00E252CE"/>
    <w:rsid w:val="00E3710A"/>
    <w:rsid w:val="00E424C2"/>
    <w:rsid w:val="00E53A73"/>
    <w:rsid w:val="00E546DB"/>
    <w:rsid w:val="00E61164"/>
    <w:rsid w:val="00E617DA"/>
    <w:rsid w:val="00E62455"/>
    <w:rsid w:val="00E73A18"/>
    <w:rsid w:val="00E82BE9"/>
    <w:rsid w:val="00E86461"/>
    <w:rsid w:val="00E9285E"/>
    <w:rsid w:val="00EA3595"/>
    <w:rsid w:val="00EB5CEB"/>
    <w:rsid w:val="00EB6511"/>
    <w:rsid w:val="00EC66ED"/>
    <w:rsid w:val="00ED4459"/>
    <w:rsid w:val="00EF20B5"/>
    <w:rsid w:val="00F1166A"/>
    <w:rsid w:val="00F127C1"/>
    <w:rsid w:val="00F12B7E"/>
    <w:rsid w:val="00F15650"/>
    <w:rsid w:val="00F250DA"/>
    <w:rsid w:val="00F44A2E"/>
    <w:rsid w:val="00F45220"/>
    <w:rsid w:val="00F53311"/>
    <w:rsid w:val="00F606C3"/>
    <w:rsid w:val="00F863EB"/>
    <w:rsid w:val="00F91A3B"/>
    <w:rsid w:val="00FB3CC3"/>
    <w:rsid w:val="00FB6129"/>
    <w:rsid w:val="00FC0076"/>
    <w:rsid w:val="00FC2F28"/>
    <w:rsid w:val="00FF0B22"/>
    <w:rsid w:val="00FF5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index heading" w:semiHidden="0" w:unhideWhenUsed="0"/>
    <w:lsdException w:name="caption" w:uiPriority="0" w:qFormat="1"/>
    <w:lsdException w:name="List" w:semiHidden="0" w:unhideWhenUsed="0"/>
    <w:lsdException w:name="List Bullet" w:uiPriority="0" w:qFormat="1"/>
    <w:lsdException w:name="List Number" w:semiHidden="0" w:unhideWhenUsed="0"/>
    <w:lsdException w:name="List 2" w:semiHidden="0" w:unhideWhenUsed="0"/>
    <w:lsdException w:name="List Bullet 2" w:semiHidden="0" w:unhideWhenUsed="0" w:qFormat="1"/>
    <w:lsdException w:name="List Bullet 3" w:semiHidden="0" w:unhideWhenUsed="0"/>
    <w:lsdException w:name="List Bullet 4" w:uiPriority="0"/>
    <w:lsdException w:name="List Number 2" w:semiHidden="0" w:unhideWhenUsed="0"/>
    <w:lsdException w:name="List Number 3" w:uiPriority="1"/>
    <w:lsdException w:name="Title" w:semiHidden="0" w:uiPriority="0" w:unhideWhenUsed="0" w:qFormat="1"/>
    <w:lsdException w:name="Default Paragraph Font" w:uiPriority="1"/>
    <w:lsdException w:name="Body Text" w:semiHidden="0" w:unhideWhenUsed="0"/>
    <w:lsdException w:name="Subtitle" w:semiHidden="0" w:uiPriority="0" w:unhideWhenUsed="0" w:qFormat="1"/>
    <w:lsdException w:name="Strong" w:semiHidden="0" w:uiPriority="0" w:unhideWhenUsed="0"/>
    <w:lsdException w:name="Emphasis" w:semiHidden="0" w:uiPriority="0" w:unhideWhenUsed="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226C88"/>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591BB0"/>
    <w:pPr>
      <w:keepNext/>
      <w:spacing w:before="240" w:after="60"/>
      <w:outlineLvl w:val="0"/>
    </w:pPr>
    <w:rPr>
      <w:b/>
      <w:bCs/>
      <w:kern w:val="32"/>
      <w:szCs w:val="32"/>
    </w:rPr>
  </w:style>
  <w:style w:type="paragraph" w:styleId="Heading2">
    <w:name w:val="heading 2"/>
    <w:basedOn w:val="HB"/>
    <w:next w:val="Normal"/>
    <w:link w:val="Heading2Char"/>
    <w:qFormat/>
    <w:rsid w:val="00A32753"/>
    <w:pPr>
      <w:spacing w:before="300"/>
      <w:outlineLvl w:val="1"/>
    </w:pPr>
    <w:rPr>
      <w:sz w:val="28"/>
      <w:lang w:eastAsia="en-AU"/>
    </w:rPr>
  </w:style>
  <w:style w:type="paragraph" w:styleId="Heading3">
    <w:name w:val="heading 3"/>
    <w:basedOn w:val="Normal"/>
    <w:next w:val="Normal"/>
    <w:link w:val="Heading3Char"/>
    <w:qFormat/>
    <w:rsid w:val="00A32753"/>
    <w:pPr>
      <w:spacing w:before="60" w:after="100"/>
      <w:outlineLvl w:val="2"/>
    </w:pPr>
    <w:rPr>
      <w:b/>
      <w:color w:val="228591"/>
      <w:sz w:val="21"/>
      <w:szCs w:val="20"/>
      <w:lang w:eastAsia="en-AU"/>
    </w:rPr>
  </w:style>
  <w:style w:type="paragraph" w:styleId="Heading4">
    <w:name w:val="heading 4"/>
    <w:basedOn w:val="Normal"/>
    <w:next w:val="Normal"/>
    <w:link w:val="Heading4Char"/>
    <w:rsid w:val="00591BB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591BB0"/>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591B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591BB0"/>
    <w:pPr>
      <w:spacing w:before="240" w:after="60"/>
      <w:outlineLvl w:val="6"/>
    </w:pPr>
    <w:rPr>
      <w:rFonts w:ascii="Times New Roman" w:hAnsi="Times New Roman"/>
      <w:sz w:val="24"/>
    </w:rPr>
  </w:style>
  <w:style w:type="paragraph" w:styleId="Heading8">
    <w:name w:val="heading 8"/>
    <w:basedOn w:val="Normal"/>
    <w:next w:val="Normal"/>
    <w:link w:val="Heading8Char"/>
    <w:rsid w:val="00591BB0"/>
    <w:pPr>
      <w:spacing w:before="240" w:after="60"/>
      <w:outlineLvl w:val="7"/>
    </w:pPr>
    <w:rPr>
      <w:rFonts w:ascii="Times New Roman" w:hAnsi="Times New Roman"/>
      <w:i/>
      <w:iCs/>
      <w:sz w:val="24"/>
    </w:rPr>
  </w:style>
  <w:style w:type="paragraph" w:styleId="Heading9">
    <w:name w:val="heading 9"/>
    <w:basedOn w:val="Normal"/>
    <w:next w:val="Normal"/>
    <w:link w:val="Heading9Char"/>
    <w:rsid w:val="00591BB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591BB0"/>
    <w:rPr>
      <w:rFonts w:ascii="Arial" w:hAnsi="Arial" w:cs="Arial"/>
      <w:b/>
      <w:bCs/>
      <w:kern w:val="32"/>
      <w:sz w:val="18"/>
      <w:szCs w:val="32"/>
      <w:lang w:eastAsia="en-US"/>
    </w:rPr>
  </w:style>
  <w:style w:type="character" w:customStyle="1" w:styleId="Heading2Char">
    <w:name w:val="Heading 2 Char"/>
    <w:basedOn w:val="DefaultParagraphFont"/>
    <w:link w:val="Heading2"/>
    <w:rsid w:val="00A32753"/>
    <w:rPr>
      <w:rFonts w:ascii="Arial" w:hAnsi="Arial" w:cs="Arial"/>
      <w:b/>
      <w:color w:val="228591"/>
      <w:sz w:val="28"/>
      <w:szCs w:val="24"/>
    </w:rPr>
  </w:style>
  <w:style w:type="character" w:customStyle="1" w:styleId="Heading3Char">
    <w:name w:val="Heading 3 Char"/>
    <w:basedOn w:val="DefaultParagraphFont"/>
    <w:link w:val="Heading3"/>
    <w:rsid w:val="00A32753"/>
    <w:rPr>
      <w:rFonts w:ascii="Arial" w:hAnsi="Arial" w:cs="Arial"/>
      <w:b/>
      <w:color w:val="228591"/>
      <w:sz w:val="21"/>
    </w:rPr>
  </w:style>
  <w:style w:type="character" w:customStyle="1" w:styleId="Heading4Char">
    <w:name w:val="Heading 4 Char"/>
    <w:basedOn w:val="DefaultParagraphFont"/>
    <w:link w:val="Heading4"/>
    <w:rsid w:val="00591BB0"/>
    <w:rPr>
      <w:rFonts w:cs="Arial"/>
      <w:b/>
      <w:bCs/>
      <w:sz w:val="28"/>
      <w:szCs w:val="28"/>
      <w:lang w:eastAsia="en-US"/>
    </w:rPr>
  </w:style>
  <w:style w:type="character" w:customStyle="1" w:styleId="Heading5Char">
    <w:name w:val="Heading 5 Char"/>
    <w:basedOn w:val="DefaultParagraphFont"/>
    <w:link w:val="Heading5"/>
    <w:rsid w:val="00591BB0"/>
    <w:rPr>
      <w:rFonts w:cs="Arial"/>
      <w:b/>
      <w:bCs/>
      <w:i/>
      <w:iCs/>
      <w:sz w:val="26"/>
      <w:szCs w:val="26"/>
      <w:lang w:eastAsia="en-US"/>
    </w:rPr>
  </w:style>
  <w:style w:type="character" w:customStyle="1" w:styleId="Heading6Char">
    <w:name w:val="Heading 6 Char"/>
    <w:basedOn w:val="DefaultParagraphFont"/>
    <w:link w:val="Heading6"/>
    <w:rsid w:val="00591BB0"/>
    <w:rPr>
      <w:rFonts w:cs="Arial"/>
      <w:b/>
      <w:bCs/>
      <w:sz w:val="22"/>
      <w:szCs w:val="22"/>
      <w:lang w:eastAsia="en-US"/>
    </w:rPr>
  </w:style>
  <w:style w:type="character" w:customStyle="1" w:styleId="Heading7Char">
    <w:name w:val="Heading 7 Char"/>
    <w:basedOn w:val="DefaultParagraphFont"/>
    <w:link w:val="Heading7"/>
    <w:rsid w:val="00591BB0"/>
    <w:rPr>
      <w:rFonts w:cs="Arial"/>
      <w:sz w:val="24"/>
      <w:szCs w:val="24"/>
      <w:lang w:eastAsia="en-US"/>
    </w:rPr>
  </w:style>
  <w:style w:type="character" w:customStyle="1" w:styleId="Heading8Char">
    <w:name w:val="Heading 8 Char"/>
    <w:basedOn w:val="DefaultParagraphFont"/>
    <w:link w:val="Heading8"/>
    <w:rsid w:val="00591BB0"/>
    <w:rPr>
      <w:rFonts w:cs="Arial"/>
      <w:i/>
      <w:iCs/>
      <w:sz w:val="24"/>
      <w:szCs w:val="24"/>
      <w:lang w:eastAsia="en-US"/>
    </w:rPr>
  </w:style>
  <w:style w:type="character" w:customStyle="1" w:styleId="Heading9Char">
    <w:name w:val="Heading 9 Char"/>
    <w:basedOn w:val="DefaultParagraphFont"/>
    <w:link w:val="Heading9"/>
    <w:rsid w:val="00591BB0"/>
    <w:rPr>
      <w:rFonts w:ascii="Arial" w:hAnsi="Arial" w:cs="Arial"/>
      <w:sz w:val="22"/>
      <w:szCs w:val="22"/>
      <w:lang w:eastAsia="en-US"/>
    </w:rPr>
  </w:style>
  <w:style w:type="paragraph" w:styleId="Title">
    <w:name w:val="Title"/>
    <w:basedOn w:val="Normal"/>
    <w:link w:val="TitleChar"/>
    <w:qFormat/>
    <w:rsid w:val="00A32753"/>
    <w:pPr>
      <w:spacing w:before="240" w:after="60"/>
      <w:jc w:val="center"/>
      <w:outlineLvl w:val="0"/>
    </w:pPr>
    <w:rPr>
      <w:b/>
      <w:bCs/>
      <w:kern w:val="28"/>
      <w:sz w:val="32"/>
      <w:szCs w:val="32"/>
    </w:rPr>
  </w:style>
  <w:style w:type="character" w:customStyle="1" w:styleId="TitleChar">
    <w:name w:val="Title Char"/>
    <w:basedOn w:val="DefaultParagraphFont"/>
    <w:link w:val="Title"/>
    <w:rsid w:val="00A32753"/>
    <w:rPr>
      <w:rFonts w:ascii="Arial" w:hAnsi="Arial" w:cs="Arial"/>
      <w:b/>
      <w:bCs/>
      <w:kern w:val="28"/>
      <w:sz w:val="32"/>
      <w:szCs w:val="32"/>
      <w:lang w:eastAsia="en-US"/>
    </w:rPr>
  </w:style>
  <w:style w:type="paragraph" w:styleId="Subtitle">
    <w:name w:val="Subtitle"/>
    <w:basedOn w:val="Normal"/>
    <w:link w:val="SubtitleChar"/>
    <w:unhideWhenUsed/>
    <w:qFormat/>
    <w:rsid w:val="00A32753"/>
    <w:pPr>
      <w:spacing w:after="60"/>
      <w:jc w:val="center"/>
      <w:outlineLvl w:val="1"/>
    </w:pPr>
    <w:rPr>
      <w:sz w:val="24"/>
    </w:rPr>
  </w:style>
  <w:style w:type="character" w:customStyle="1" w:styleId="SubtitleChar">
    <w:name w:val="Subtitle Char"/>
    <w:basedOn w:val="DefaultParagraphFont"/>
    <w:link w:val="Subtitle"/>
    <w:rsid w:val="00A32753"/>
    <w:rPr>
      <w:rFonts w:ascii="Arial" w:hAnsi="Arial" w:cs="Arial"/>
      <w:sz w:val="24"/>
      <w:szCs w:val="24"/>
      <w:lang w:eastAsia="en-US"/>
    </w:rPr>
  </w:style>
  <w:style w:type="character" w:styleId="Strong">
    <w:name w:val="Strong"/>
    <w:rsid w:val="00591BB0"/>
    <w:rPr>
      <w:b/>
      <w:bCs/>
    </w:rPr>
  </w:style>
  <w:style w:type="character" w:styleId="Emphasis">
    <w:name w:val="Emphasis"/>
    <w:rsid w:val="00591BB0"/>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1BB0"/>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A32753"/>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A32753"/>
    <w:pPr>
      <w:numPr>
        <w:numId w:val="29"/>
      </w:numPr>
      <w:tabs>
        <w:tab w:val="left" w:pos="284"/>
      </w:tabs>
      <w:ind w:left="284" w:hanging="284"/>
    </w:pPr>
    <w:rPr>
      <w:color w:val="419997"/>
      <w:sz w:val="23"/>
      <w:szCs w:val="23"/>
    </w:rPr>
  </w:style>
  <w:style w:type="character" w:customStyle="1" w:styleId="BulletChar">
    <w:name w:val="_Bullet Char"/>
    <w:link w:val="Bullet"/>
    <w:rsid w:val="00A32753"/>
    <w:rPr>
      <w:rFonts w:ascii="Arial" w:hAnsi="Arial" w:cs="Arial"/>
      <w:color w:val="419997"/>
      <w:sz w:val="23"/>
      <w:szCs w:val="23"/>
      <w:lang w:eastAsia="en-US"/>
    </w:rPr>
  </w:style>
  <w:style w:type="paragraph" w:customStyle="1" w:styleId="HA">
    <w:name w:val="_HA"/>
    <w:next w:val="Body"/>
    <w:uiPriority w:val="2"/>
    <w:qFormat/>
    <w:rsid w:val="00A32753"/>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A32753"/>
    <w:pPr>
      <w:spacing w:before="240" w:after="100" w:line="300" w:lineRule="atLeast"/>
      <w:outlineLvl w:val="0"/>
    </w:pPr>
    <w:rPr>
      <w:rFonts w:ascii="Arial" w:hAnsi="Arial" w:cs="Arial"/>
      <w:b/>
      <w:color w:val="228591"/>
      <w:sz w:val="24"/>
      <w:szCs w:val="24"/>
      <w:lang w:eastAsia="en-US"/>
    </w:rPr>
  </w:style>
  <w:style w:type="paragraph" w:customStyle="1" w:styleId="Pullout">
    <w:name w:val="_Pullout"/>
    <w:qFormat/>
    <w:rsid w:val="00A32753"/>
    <w:pPr>
      <w:spacing w:before="85" w:after="170" w:line="300" w:lineRule="atLeast"/>
    </w:pPr>
    <w:rPr>
      <w:rFonts w:ascii="Arial" w:hAnsi="Arial" w:cs="Arial"/>
      <w:color w:val="419997"/>
      <w:sz w:val="23"/>
      <w:szCs w:val="24"/>
      <w:lang w:eastAsia="en-US"/>
    </w:rPr>
  </w:style>
  <w:style w:type="character" w:styleId="Hyperlink">
    <w:name w:val="Hyperlink"/>
    <w:uiPriority w:val="99"/>
    <w:rsid w:val="00DE066B"/>
    <w:rPr>
      <w:color w:val="0000FF"/>
      <w:u w:val="single"/>
    </w:rPr>
  </w:style>
  <w:style w:type="character" w:customStyle="1" w:styleId="italic">
    <w:name w:val="italic"/>
    <w:uiPriority w:val="99"/>
    <w:rsid w:val="00DE066B"/>
    <w:rPr>
      <w:i/>
    </w:rPr>
  </w:style>
  <w:style w:type="paragraph" w:customStyle="1" w:styleId="Bulletlast">
    <w:name w:val="_Bullet last"/>
    <w:basedOn w:val="Bullet"/>
    <w:uiPriority w:val="9"/>
    <w:rsid w:val="00DE066B"/>
    <w:pPr>
      <w:spacing w:after="240"/>
    </w:pPr>
  </w:style>
  <w:style w:type="paragraph" w:styleId="Header">
    <w:name w:val="header"/>
    <w:basedOn w:val="Normal"/>
    <w:link w:val="HeaderChar"/>
    <w:uiPriority w:val="99"/>
    <w:rsid w:val="00DE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70D"/>
    <w:rPr>
      <w:rFonts w:ascii="Arial" w:hAnsi="Arial" w:cs="Arial"/>
      <w:sz w:val="18"/>
      <w:szCs w:val="24"/>
      <w:lang w:eastAsia="en-US"/>
    </w:rPr>
  </w:style>
  <w:style w:type="paragraph" w:styleId="Footer">
    <w:name w:val="footer"/>
    <w:basedOn w:val="Normal"/>
    <w:link w:val="FooterChar"/>
    <w:uiPriority w:val="99"/>
    <w:unhideWhenUsed/>
    <w:rsid w:val="00DE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66B"/>
    <w:rPr>
      <w:rFonts w:ascii="Arial" w:hAnsi="Arial" w:cs="Arial"/>
      <w:sz w:val="18"/>
      <w:szCs w:val="24"/>
      <w:lang w:eastAsia="en-US"/>
    </w:rPr>
  </w:style>
  <w:style w:type="paragraph" w:customStyle="1" w:styleId="zFooter">
    <w:name w:val="_zFooter"/>
    <w:uiPriority w:val="99"/>
    <w:rsid w:val="00DE066B"/>
    <w:pPr>
      <w:tabs>
        <w:tab w:val="right" w:pos="9639"/>
      </w:tabs>
      <w:jc w:val="center"/>
    </w:pPr>
    <w:rPr>
      <w:rFonts w:ascii="Arial" w:hAnsi="Arial"/>
      <w:sz w:val="14"/>
      <w:szCs w:val="24"/>
      <w:lang w:eastAsia="en-US"/>
    </w:rPr>
  </w:style>
  <w:style w:type="character" w:customStyle="1" w:styleId="zRptPgNum">
    <w:name w:val="_zRptPgNum"/>
    <w:uiPriority w:val="99"/>
    <w:rsid w:val="00F53311"/>
    <w:rPr>
      <w:color w:val="419997"/>
    </w:rPr>
  </w:style>
  <w:style w:type="character" w:styleId="FollowedHyperlink">
    <w:name w:val="FollowedHyperlink"/>
    <w:basedOn w:val="DefaultParagraphFont"/>
    <w:uiPriority w:val="99"/>
    <w:rsid w:val="00F53311"/>
    <w:rPr>
      <w:color w:val="800080" w:themeColor="followedHyperlink"/>
      <w:u w:val="single"/>
    </w:rPr>
  </w:style>
  <w:style w:type="character" w:styleId="SubtleEmphasis">
    <w:name w:val="Subtle Emphasis"/>
    <w:basedOn w:val="DefaultParagraphFont"/>
    <w:uiPriority w:val="19"/>
    <w:rsid w:val="00591BB0"/>
    <w:rPr>
      <w:i/>
      <w:iCs/>
      <w:color w:val="808080" w:themeColor="text1" w:themeTint="7F"/>
    </w:rPr>
  </w:style>
  <w:style w:type="paragraph" w:styleId="BalloonText">
    <w:name w:val="Balloon Text"/>
    <w:basedOn w:val="Normal"/>
    <w:link w:val="BalloonTextChar"/>
    <w:uiPriority w:val="99"/>
    <w:semiHidden/>
    <w:unhideWhenUsed/>
    <w:rsid w:val="0016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5A"/>
    <w:rPr>
      <w:rFonts w:ascii="Tahoma" w:hAnsi="Tahoma" w:cs="Tahoma"/>
      <w:sz w:val="16"/>
      <w:szCs w:val="16"/>
      <w:lang w:eastAsia="en-US"/>
    </w:rPr>
  </w:style>
  <w:style w:type="paragraph" w:styleId="ListBullet">
    <w:name w:val="List Bullet"/>
    <w:basedOn w:val="Normal"/>
    <w:qFormat/>
    <w:rsid w:val="00A32753"/>
    <w:pPr>
      <w:numPr>
        <w:numId w:val="26"/>
      </w:numPr>
    </w:pPr>
  </w:style>
  <w:style w:type="paragraph" w:styleId="ListBullet2">
    <w:name w:val="List Bullet 2"/>
    <w:basedOn w:val="Normal"/>
    <w:uiPriority w:val="99"/>
    <w:qFormat/>
    <w:rsid w:val="00A32753"/>
    <w:pPr>
      <w:numPr>
        <w:numId w:val="27"/>
      </w:numPr>
    </w:pPr>
  </w:style>
  <w:style w:type="paragraph" w:customStyle="1" w:styleId="delwpcolouredindent">
    <w:name w:val="delwp coloured indent"/>
    <w:basedOn w:val="ListBullet"/>
    <w:uiPriority w:val="9"/>
    <w:rsid w:val="00CC770D"/>
    <w:rPr>
      <w:b/>
      <w:color w:val="228591"/>
      <w:lang w:eastAsia="en-AU"/>
    </w:rPr>
  </w:style>
  <w:style w:type="paragraph" w:customStyle="1" w:styleId="Bullet2">
    <w:name w:val="_Bullet2"/>
    <w:basedOn w:val="Bullet"/>
    <w:rsid w:val="00247409"/>
    <w:pPr>
      <w:numPr>
        <w:ilvl w:val="1"/>
        <w:numId w:val="16"/>
      </w:numPr>
      <w:tabs>
        <w:tab w:val="clear" w:pos="284"/>
      </w:tabs>
    </w:pPr>
    <w:rPr>
      <w:rFonts w:ascii="Calibri" w:hAnsi="Calibri"/>
      <w:sz w:val="22"/>
    </w:rPr>
  </w:style>
  <w:style w:type="paragraph" w:customStyle="1" w:styleId="HC">
    <w:name w:val="_HC"/>
    <w:next w:val="Body"/>
    <w:uiPriority w:val="2"/>
    <w:qFormat/>
    <w:rsid w:val="00A32753"/>
    <w:pPr>
      <w:spacing w:before="140" w:after="80" w:line="220" w:lineRule="atLeast"/>
    </w:pPr>
    <w:rPr>
      <w:rFonts w:ascii="Arial Bold" w:hAnsi="Arial Bold" w:cs="Arial"/>
      <w:b/>
      <w:color w:val="595959" w:themeColor="text1" w:themeTint="A6"/>
      <w:szCs w:val="24"/>
      <w:lang w:eastAsia="en-US"/>
    </w:rPr>
  </w:style>
  <w:style w:type="character" w:customStyle="1" w:styleId="Emphasis-Bold">
    <w:name w:val="Emphasis - Bold"/>
    <w:rsid w:val="00247409"/>
    <w:rPr>
      <w:rFonts w:ascii="Arial" w:hAnsi="Arial" w:cs="Arial"/>
      <w:b/>
      <w:color w:val="000000"/>
    </w:rPr>
  </w:style>
  <w:style w:type="character" w:customStyle="1" w:styleId="Emphasis-Italics">
    <w:name w:val="Emphasis - Italics"/>
    <w:rsid w:val="00247409"/>
    <w:rPr>
      <w:i/>
    </w:rPr>
  </w:style>
  <w:style w:type="paragraph" w:styleId="ListBullet4">
    <w:name w:val="List Bullet 4"/>
    <w:basedOn w:val="Normal"/>
    <w:semiHidden/>
    <w:rsid w:val="00247409"/>
    <w:pPr>
      <w:tabs>
        <w:tab w:val="num" w:pos="1209"/>
      </w:tabs>
      <w:ind w:left="1209" w:hanging="360"/>
    </w:pPr>
  </w:style>
  <w:style w:type="numbering" w:styleId="111111">
    <w:name w:val="Outline List 2"/>
    <w:basedOn w:val="NoList"/>
    <w:semiHidden/>
    <w:rsid w:val="00247409"/>
    <w:pPr>
      <w:numPr>
        <w:numId w:val="15"/>
      </w:numPr>
    </w:pPr>
  </w:style>
  <w:style w:type="character" w:customStyle="1" w:styleId="Bold">
    <w:name w:val="Bold"/>
    <w:rsid w:val="00F250DA"/>
    <w:rPr>
      <w:b/>
    </w:rPr>
  </w:style>
  <w:style w:type="paragraph" w:customStyle="1" w:styleId="pulloutdotpoint">
    <w:name w:val="pullout dot point"/>
    <w:basedOn w:val="ListBullet"/>
    <w:uiPriority w:val="9"/>
    <w:qFormat/>
    <w:rsid w:val="00A32753"/>
    <w:pPr>
      <w:numPr>
        <w:numId w:val="0"/>
      </w:numPr>
      <w:tabs>
        <w:tab w:val="left" w:pos="357"/>
      </w:tabs>
    </w:pPr>
    <w:rPr>
      <w:color w:val="419997"/>
      <w:sz w:val="23"/>
      <w:szCs w:val="23"/>
    </w:rPr>
  </w:style>
  <w:style w:type="paragraph" w:customStyle="1" w:styleId="TableBodyText">
    <w:name w:val="Table Body Text"/>
    <w:basedOn w:val="Normal"/>
    <w:unhideWhenUsed/>
    <w:qFormat/>
    <w:rsid w:val="00A32753"/>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A32753"/>
    <w:pPr>
      <w:spacing w:before="50" w:after="50"/>
      <w:jc w:val="center"/>
    </w:pPr>
    <w:rPr>
      <w:color w:val="798D28"/>
      <w:spacing w:val="-2"/>
      <w:sz w:val="32"/>
      <w:szCs w:val="32"/>
    </w:rPr>
  </w:style>
  <w:style w:type="character" w:customStyle="1" w:styleId="TableBodyText-Italics">
    <w:name w:val="Table Body Text - Italics"/>
    <w:unhideWhenUsed/>
    <w:qFormat/>
    <w:rsid w:val="00A32753"/>
    <w:rPr>
      <w:rFonts w:ascii="Arial" w:hAnsi="Arial"/>
      <w:i/>
      <w:sz w:val="18"/>
    </w:rPr>
  </w:style>
  <w:style w:type="paragraph" w:styleId="ListNumber3">
    <w:name w:val="List Number 3"/>
    <w:basedOn w:val="Normal"/>
    <w:uiPriority w:val="1"/>
    <w:rsid w:val="008232FD"/>
    <w:pPr>
      <w:tabs>
        <w:tab w:val="num" w:pos="926"/>
      </w:tabs>
      <w:ind w:left="926" w:hanging="360"/>
    </w:pPr>
  </w:style>
  <w:style w:type="paragraph" w:customStyle="1" w:styleId="pulldot">
    <w:name w:val="pull dot"/>
    <w:basedOn w:val="ListBullet"/>
    <w:qFormat/>
    <w:rsid w:val="00A32753"/>
    <w:pPr>
      <w:numPr>
        <w:numId w:val="0"/>
      </w:numPr>
      <w:tabs>
        <w:tab w:val="left" w:pos="357"/>
      </w:tabs>
    </w:pPr>
    <w:rPr>
      <w:color w:val="419997"/>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index heading" w:semiHidden="0" w:unhideWhenUsed="0"/>
    <w:lsdException w:name="caption" w:uiPriority="0" w:qFormat="1"/>
    <w:lsdException w:name="List" w:semiHidden="0" w:unhideWhenUsed="0"/>
    <w:lsdException w:name="List Bullet" w:uiPriority="0" w:qFormat="1"/>
    <w:lsdException w:name="List Number" w:semiHidden="0" w:unhideWhenUsed="0"/>
    <w:lsdException w:name="List 2" w:semiHidden="0" w:unhideWhenUsed="0"/>
    <w:lsdException w:name="List Bullet 2" w:semiHidden="0" w:unhideWhenUsed="0" w:qFormat="1"/>
    <w:lsdException w:name="List Bullet 3" w:semiHidden="0" w:unhideWhenUsed="0"/>
    <w:lsdException w:name="List Bullet 4" w:uiPriority="0"/>
    <w:lsdException w:name="List Number 2" w:semiHidden="0" w:unhideWhenUsed="0"/>
    <w:lsdException w:name="List Number 3" w:uiPriority="1"/>
    <w:lsdException w:name="Title" w:semiHidden="0" w:uiPriority="0" w:unhideWhenUsed="0" w:qFormat="1"/>
    <w:lsdException w:name="Default Paragraph Font" w:uiPriority="1"/>
    <w:lsdException w:name="Body Text" w:semiHidden="0" w:unhideWhenUsed="0"/>
    <w:lsdException w:name="Subtitle" w:semiHidden="0" w:uiPriority="0" w:unhideWhenUsed="0" w:qFormat="1"/>
    <w:lsdException w:name="Strong" w:semiHidden="0" w:uiPriority="0" w:unhideWhenUsed="0"/>
    <w:lsdException w:name="Emphasis" w:semiHidden="0" w:uiPriority="0" w:unhideWhenUsed="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226C88"/>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591BB0"/>
    <w:pPr>
      <w:keepNext/>
      <w:spacing w:before="240" w:after="60"/>
      <w:outlineLvl w:val="0"/>
    </w:pPr>
    <w:rPr>
      <w:b/>
      <w:bCs/>
      <w:kern w:val="32"/>
      <w:szCs w:val="32"/>
    </w:rPr>
  </w:style>
  <w:style w:type="paragraph" w:styleId="Heading2">
    <w:name w:val="heading 2"/>
    <w:basedOn w:val="HB"/>
    <w:next w:val="Normal"/>
    <w:link w:val="Heading2Char"/>
    <w:qFormat/>
    <w:rsid w:val="00A32753"/>
    <w:pPr>
      <w:spacing w:before="300"/>
      <w:outlineLvl w:val="1"/>
    </w:pPr>
    <w:rPr>
      <w:sz w:val="28"/>
      <w:lang w:eastAsia="en-AU"/>
    </w:rPr>
  </w:style>
  <w:style w:type="paragraph" w:styleId="Heading3">
    <w:name w:val="heading 3"/>
    <w:basedOn w:val="Normal"/>
    <w:next w:val="Normal"/>
    <w:link w:val="Heading3Char"/>
    <w:qFormat/>
    <w:rsid w:val="00A32753"/>
    <w:pPr>
      <w:spacing w:before="60" w:after="100"/>
      <w:outlineLvl w:val="2"/>
    </w:pPr>
    <w:rPr>
      <w:b/>
      <w:color w:val="228591"/>
      <w:sz w:val="21"/>
      <w:szCs w:val="20"/>
      <w:lang w:eastAsia="en-AU"/>
    </w:rPr>
  </w:style>
  <w:style w:type="paragraph" w:styleId="Heading4">
    <w:name w:val="heading 4"/>
    <w:basedOn w:val="Normal"/>
    <w:next w:val="Normal"/>
    <w:link w:val="Heading4Char"/>
    <w:rsid w:val="00591BB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591BB0"/>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591B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591BB0"/>
    <w:pPr>
      <w:spacing w:before="240" w:after="60"/>
      <w:outlineLvl w:val="6"/>
    </w:pPr>
    <w:rPr>
      <w:rFonts w:ascii="Times New Roman" w:hAnsi="Times New Roman"/>
      <w:sz w:val="24"/>
    </w:rPr>
  </w:style>
  <w:style w:type="paragraph" w:styleId="Heading8">
    <w:name w:val="heading 8"/>
    <w:basedOn w:val="Normal"/>
    <w:next w:val="Normal"/>
    <w:link w:val="Heading8Char"/>
    <w:rsid w:val="00591BB0"/>
    <w:pPr>
      <w:spacing w:before="240" w:after="60"/>
      <w:outlineLvl w:val="7"/>
    </w:pPr>
    <w:rPr>
      <w:rFonts w:ascii="Times New Roman" w:hAnsi="Times New Roman"/>
      <w:i/>
      <w:iCs/>
      <w:sz w:val="24"/>
    </w:rPr>
  </w:style>
  <w:style w:type="paragraph" w:styleId="Heading9">
    <w:name w:val="heading 9"/>
    <w:basedOn w:val="Normal"/>
    <w:next w:val="Normal"/>
    <w:link w:val="Heading9Char"/>
    <w:rsid w:val="00591BB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591BB0"/>
    <w:rPr>
      <w:rFonts w:ascii="Arial" w:hAnsi="Arial" w:cs="Arial"/>
      <w:b/>
      <w:bCs/>
      <w:kern w:val="32"/>
      <w:sz w:val="18"/>
      <w:szCs w:val="32"/>
      <w:lang w:eastAsia="en-US"/>
    </w:rPr>
  </w:style>
  <w:style w:type="character" w:customStyle="1" w:styleId="Heading2Char">
    <w:name w:val="Heading 2 Char"/>
    <w:basedOn w:val="DefaultParagraphFont"/>
    <w:link w:val="Heading2"/>
    <w:rsid w:val="00A32753"/>
    <w:rPr>
      <w:rFonts w:ascii="Arial" w:hAnsi="Arial" w:cs="Arial"/>
      <w:b/>
      <w:color w:val="228591"/>
      <w:sz w:val="28"/>
      <w:szCs w:val="24"/>
    </w:rPr>
  </w:style>
  <w:style w:type="character" w:customStyle="1" w:styleId="Heading3Char">
    <w:name w:val="Heading 3 Char"/>
    <w:basedOn w:val="DefaultParagraphFont"/>
    <w:link w:val="Heading3"/>
    <w:rsid w:val="00A32753"/>
    <w:rPr>
      <w:rFonts w:ascii="Arial" w:hAnsi="Arial" w:cs="Arial"/>
      <w:b/>
      <w:color w:val="228591"/>
      <w:sz w:val="21"/>
    </w:rPr>
  </w:style>
  <w:style w:type="character" w:customStyle="1" w:styleId="Heading4Char">
    <w:name w:val="Heading 4 Char"/>
    <w:basedOn w:val="DefaultParagraphFont"/>
    <w:link w:val="Heading4"/>
    <w:rsid w:val="00591BB0"/>
    <w:rPr>
      <w:rFonts w:cs="Arial"/>
      <w:b/>
      <w:bCs/>
      <w:sz w:val="28"/>
      <w:szCs w:val="28"/>
      <w:lang w:eastAsia="en-US"/>
    </w:rPr>
  </w:style>
  <w:style w:type="character" w:customStyle="1" w:styleId="Heading5Char">
    <w:name w:val="Heading 5 Char"/>
    <w:basedOn w:val="DefaultParagraphFont"/>
    <w:link w:val="Heading5"/>
    <w:rsid w:val="00591BB0"/>
    <w:rPr>
      <w:rFonts w:cs="Arial"/>
      <w:b/>
      <w:bCs/>
      <w:i/>
      <w:iCs/>
      <w:sz w:val="26"/>
      <w:szCs w:val="26"/>
      <w:lang w:eastAsia="en-US"/>
    </w:rPr>
  </w:style>
  <w:style w:type="character" w:customStyle="1" w:styleId="Heading6Char">
    <w:name w:val="Heading 6 Char"/>
    <w:basedOn w:val="DefaultParagraphFont"/>
    <w:link w:val="Heading6"/>
    <w:rsid w:val="00591BB0"/>
    <w:rPr>
      <w:rFonts w:cs="Arial"/>
      <w:b/>
      <w:bCs/>
      <w:sz w:val="22"/>
      <w:szCs w:val="22"/>
      <w:lang w:eastAsia="en-US"/>
    </w:rPr>
  </w:style>
  <w:style w:type="character" w:customStyle="1" w:styleId="Heading7Char">
    <w:name w:val="Heading 7 Char"/>
    <w:basedOn w:val="DefaultParagraphFont"/>
    <w:link w:val="Heading7"/>
    <w:rsid w:val="00591BB0"/>
    <w:rPr>
      <w:rFonts w:cs="Arial"/>
      <w:sz w:val="24"/>
      <w:szCs w:val="24"/>
      <w:lang w:eastAsia="en-US"/>
    </w:rPr>
  </w:style>
  <w:style w:type="character" w:customStyle="1" w:styleId="Heading8Char">
    <w:name w:val="Heading 8 Char"/>
    <w:basedOn w:val="DefaultParagraphFont"/>
    <w:link w:val="Heading8"/>
    <w:rsid w:val="00591BB0"/>
    <w:rPr>
      <w:rFonts w:cs="Arial"/>
      <w:i/>
      <w:iCs/>
      <w:sz w:val="24"/>
      <w:szCs w:val="24"/>
      <w:lang w:eastAsia="en-US"/>
    </w:rPr>
  </w:style>
  <w:style w:type="character" w:customStyle="1" w:styleId="Heading9Char">
    <w:name w:val="Heading 9 Char"/>
    <w:basedOn w:val="DefaultParagraphFont"/>
    <w:link w:val="Heading9"/>
    <w:rsid w:val="00591BB0"/>
    <w:rPr>
      <w:rFonts w:ascii="Arial" w:hAnsi="Arial" w:cs="Arial"/>
      <w:sz w:val="22"/>
      <w:szCs w:val="22"/>
      <w:lang w:eastAsia="en-US"/>
    </w:rPr>
  </w:style>
  <w:style w:type="paragraph" w:styleId="Title">
    <w:name w:val="Title"/>
    <w:basedOn w:val="Normal"/>
    <w:link w:val="TitleChar"/>
    <w:qFormat/>
    <w:rsid w:val="00A32753"/>
    <w:pPr>
      <w:spacing w:before="240" w:after="60"/>
      <w:jc w:val="center"/>
      <w:outlineLvl w:val="0"/>
    </w:pPr>
    <w:rPr>
      <w:b/>
      <w:bCs/>
      <w:kern w:val="28"/>
      <w:sz w:val="32"/>
      <w:szCs w:val="32"/>
    </w:rPr>
  </w:style>
  <w:style w:type="character" w:customStyle="1" w:styleId="TitleChar">
    <w:name w:val="Title Char"/>
    <w:basedOn w:val="DefaultParagraphFont"/>
    <w:link w:val="Title"/>
    <w:rsid w:val="00A32753"/>
    <w:rPr>
      <w:rFonts w:ascii="Arial" w:hAnsi="Arial" w:cs="Arial"/>
      <w:b/>
      <w:bCs/>
      <w:kern w:val="28"/>
      <w:sz w:val="32"/>
      <w:szCs w:val="32"/>
      <w:lang w:eastAsia="en-US"/>
    </w:rPr>
  </w:style>
  <w:style w:type="paragraph" w:styleId="Subtitle">
    <w:name w:val="Subtitle"/>
    <w:basedOn w:val="Normal"/>
    <w:link w:val="SubtitleChar"/>
    <w:unhideWhenUsed/>
    <w:qFormat/>
    <w:rsid w:val="00A32753"/>
    <w:pPr>
      <w:spacing w:after="60"/>
      <w:jc w:val="center"/>
      <w:outlineLvl w:val="1"/>
    </w:pPr>
    <w:rPr>
      <w:sz w:val="24"/>
    </w:rPr>
  </w:style>
  <w:style w:type="character" w:customStyle="1" w:styleId="SubtitleChar">
    <w:name w:val="Subtitle Char"/>
    <w:basedOn w:val="DefaultParagraphFont"/>
    <w:link w:val="Subtitle"/>
    <w:rsid w:val="00A32753"/>
    <w:rPr>
      <w:rFonts w:ascii="Arial" w:hAnsi="Arial" w:cs="Arial"/>
      <w:sz w:val="24"/>
      <w:szCs w:val="24"/>
      <w:lang w:eastAsia="en-US"/>
    </w:rPr>
  </w:style>
  <w:style w:type="character" w:styleId="Strong">
    <w:name w:val="Strong"/>
    <w:rsid w:val="00591BB0"/>
    <w:rPr>
      <w:b/>
      <w:bCs/>
    </w:rPr>
  </w:style>
  <w:style w:type="character" w:styleId="Emphasis">
    <w:name w:val="Emphasis"/>
    <w:rsid w:val="00591BB0"/>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1BB0"/>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A32753"/>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A32753"/>
    <w:pPr>
      <w:numPr>
        <w:numId w:val="29"/>
      </w:numPr>
      <w:tabs>
        <w:tab w:val="left" w:pos="284"/>
      </w:tabs>
      <w:ind w:left="284" w:hanging="284"/>
    </w:pPr>
    <w:rPr>
      <w:color w:val="419997"/>
      <w:sz w:val="23"/>
      <w:szCs w:val="23"/>
    </w:rPr>
  </w:style>
  <w:style w:type="character" w:customStyle="1" w:styleId="BulletChar">
    <w:name w:val="_Bullet Char"/>
    <w:link w:val="Bullet"/>
    <w:rsid w:val="00A32753"/>
    <w:rPr>
      <w:rFonts w:ascii="Arial" w:hAnsi="Arial" w:cs="Arial"/>
      <w:color w:val="419997"/>
      <w:sz w:val="23"/>
      <w:szCs w:val="23"/>
      <w:lang w:eastAsia="en-US"/>
    </w:rPr>
  </w:style>
  <w:style w:type="paragraph" w:customStyle="1" w:styleId="HA">
    <w:name w:val="_HA"/>
    <w:next w:val="Body"/>
    <w:uiPriority w:val="2"/>
    <w:qFormat/>
    <w:rsid w:val="00A32753"/>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A32753"/>
    <w:pPr>
      <w:spacing w:before="240" w:after="100" w:line="300" w:lineRule="atLeast"/>
      <w:outlineLvl w:val="0"/>
    </w:pPr>
    <w:rPr>
      <w:rFonts w:ascii="Arial" w:hAnsi="Arial" w:cs="Arial"/>
      <w:b/>
      <w:color w:val="228591"/>
      <w:sz w:val="24"/>
      <w:szCs w:val="24"/>
      <w:lang w:eastAsia="en-US"/>
    </w:rPr>
  </w:style>
  <w:style w:type="paragraph" w:customStyle="1" w:styleId="Pullout">
    <w:name w:val="_Pullout"/>
    <w:qFormat/>
    <w:rsid w:val="00A32753"/>
    <w:pPr>
      <w:spacing w:before="85" w:after="170" w:line="300" w:lineRule="atLeast"/>
    </w:pPr>
    <w:rPr>
      <w:rFonts w:ascii="Arial" w:hAnsi="Arial" w:cs="Arial"/>
      <w:color w:val="419997"/>
      <w:sz w:val="23"/>
      <w:szCs w:val="24"/>
      <w:lang w:eastAsia="en-US"/>
    </w:rPr>
  </w:style>
  <w:style w:type="character" w:styleId="Hyperlink">
    <w:name w:val="Hyperlink"/>
    <w:uiPriority w:val="99"/>
    <w:rsid w:val="00DE066B"/>
    <w:rPr>
      <w:color w:val="0000FF"/>
      <w:u w:val="single"/>
    </w:rPr>
  </w:style>
  <w:style w:type="character" w:customStyle="1" w:styleId="italic">
    <w:name w:val="italic"/>
    <w:uiPriority w:val="99"/>
    <w:rsid w:val="00DE066B"/>
    <w:rPr>
      <w:i/>
    </w:rPr>
  </w:style>
  <w:style w:type="paragraph" w:customStyle="1" w:styleId="Bulletlast">
    <w:name w:val="_Bullet last"/>
    <w:basedOn w:val="Bullet"/>
    <w:uiPriority w:val="9"/>
    <w:rsid w:val="00DE066B"/>
    <w:pPr>
      <w:spacing w:after="240"/>
    </w:pPr>
  </w:style>
  <w:style w:type="paragraph" w:styleId="Header">
    <w:name w:val="header"/>
    <w:basedOn w:val="Normal"/>
    <w:link w:val="HeaderChar"/>
    <w:uiPriority w:val="99"/>
    <w:rsid w:val="00DE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70D"/>
    <w:rPr>
      <w:rFonts w:ascii="Arial" w:hAnsi="Arial" w:cs="Arial"/>
      <w:sz w:val="18"/>
      <w:szCs w:val="24"/>
      <w:lang w:eastAsia="en-US"/>
    </w:rPr>
  </w:style>
  <w:style w:type="paragraph" w:styleId="Footer">
    <w:name w:val="footer"/>
    <w:basedOn w:val="Normal"/>
    <w:link w:val="FooterChar"/>
    <w:uiPriority w:val="99"/>
    <w:unhideWhenUsed/>
    <w:rsid w:val="00DE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66B"/>
    <w:rPr>
      <w:rFonts w:ascii="Arial" w:hAnsi="Arial" w:cs="Arial"/>
      <w:sz w:val="18"/>
      <w:szCs w:val="24"/>
      <w:lang w:eastAsia="en-US"/>
    </w:rPr>
  </w:style>
  <w:style w:type="paragraph" w:customStyle="1" w:styleId="zFooter">
    <w:name w:val="_zFooter"/>
    <w:uiPriority w:val="99"/>
    <w:rsid w:val="00DE066B"/>
    <w:pPr>
      <w:tabs>
        <w:tab w:val="right" w:pos="9639"/>
      </w:tabs>
      <w:jc w:val="center"/>
    </w:pPr>
    <w:rPr>
      <w:rFonts w:ascii="Arial" w:hAnsi="Arial"/>
      <w:sz w:val="14"/>
      <w:szCs w:val="24"/>
      <w:lang w:eastAsia="en-US"/>
    </w:rPr>
  </w:style>
  <w:style w:type="character" w:customStyle="1" w:styleId="zRptPgNum">
    <w:name w:val="_zRptPgNum"/>
    <w:uiPriority w:val="99"/>
    <w:rsid w:val="00F53311"/>
    <w:rPr>
      <w:color w:val="419997"/>
    </w:rPr>
  </w:style>
  <w:style w:type="character" w:styleId="FollowedHyperlink">
    <w:name w:val="FollowedHyperlink"/>
    <w:basedOn w:val="DefaultParagraphFont"/>
    <w:uiPriority w:val="99"/>
    <w:rsid w:val="00F53311"/>
    <w:rPr>
      <w:color w:val="800080" w:themeColor="followedHyperlink"/>
      <w:u w:val="single"/>
    </w:rPr>
  </w:style>
  <w:style w:type="character" w:styleId="SubtleEmphasis">
    <w:name w:val="Subtle Emphasis"/>
    <w:basedOn w:val="DefaultParagraphFont"/>
    <w:uiPriority w:val="19"/>
    <w:rsid w:val="00591BB0"/>
    <w:rPr>
      <w:i/>
      <w:iCs/>
      <w:color w:val="808080" w:themeColor="text1" w:themeTint="7F"/>
    </w:rPr>
  </w:style>
  <w:style w:type="paragraph" w:styleId="BalloonText">
    <w:name w:val="Balloon Text"/>
    <w:basedOn w:val="Normal"/>
    <w:link w:val="BalloonTextChar"/>
    <w:uiPriority w:val="99"/>
    <w:semiHidden/>
    <w:unhideWhenUsed/>
    <w:rsid w:val="0016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5A"/>
    <w:rPr>
      <w:rFonts w:ascii="Tahoma" w:hAnsi="Tahoma" w:cs="Tahoma"/>
      <w:sz w:val="16"/>
      <w:szCs w:val="16"/>
      <w:lang w:eastAsia="en-US"/>
    </w:rPr>
  </w:style>
  <w:style w:type="paragraph" w:styleId="ListBullet">
    <w:name w:val="List Bullet"/>
    <w:basedOn w:val="Normal"/>
    <w:qFormat/>
    <w:rsid w:val="00A32753"/>
    <w:pPr>
      <w:numPr>
        <w:numId w:val="26"/>
      </w:numPr>
    </w:pPr>
  </w:style>
  <w:style w:type="paragraph" w:styleId="ListBullet2">
    <w:name w:val="List Bullet 2"/>
    <w:basedOn w:val="Normal"/>
    <w:uiPriority w:val="99"/>
    <w:qFormat/>
    <w:rsid w:val="00A32753"/>
    <w:pPr>
      <w:numPr>
        <w:numId w:val="27"/>
      </w:numPr>
    </w:pPr>
  </w:style>
  <w:style w:type="paragraph" w:customStyle="1" w:styleId="delwpcolouredindent">
    <w:name w:val="delwp coloured indent"/>
    <w:basedOn w:val="ListBullet"/>
    <w:uiPriority w:val="9"/>
    <w:rsid w:val="00CC770D"/>
    <w:rPr>
      <w:b/>
      <w:color w:val="228591"/>
      <w:lang w:eastAsia="en-AU"/>
    </w:rPr>
  </w:style>
  <w:style w:type="paragraph" w:customStyle="1" w:styleId="Bullet2">
    <w:name w:val="_Bullet2"/>
    <w:basedOn w:val="Bullet"/>
    <w:rsid w:val="00247409"/>
    <w:pPr>
      <w:numPr>
        <w:ilvl w:val="1"/>
        <w:numId w:val="16"/>
      </w:numPr>
      <w:tabs>
        <w:tab w:val="clear" w:pos="284"/>
      </w:tabs>
    </w:pPr>
    <w:rPr>
      <w:rFonts w:ascii="Calibri" w:hAnsi="Calibri"/>
      <w:sz w:val="22"/>
    </w:rPr>
  </w:style>
  <w:style w:type="paragraph" w:customStyle="1" w:styleId="HC">
    <w:name w:val="_HC"/>
    <w:next w:val="Body"/>
    <w:uiPriority w:val="2"/>
    <w:qFormat/>
    <w:rsid w:val="00A32753"/>
    <w:pPr>
      <w:spacing w:before="140" w:after="80" w:line="220" w:lineRule="atLeast"/>
    </w:pPr>
    <w:rPr>
      <w:rFonts w:ascii="Arial Bold" w:hAnsi="Arial Bold" w:cs="Arial"/>
      <w:b/>
      <w:color w:val="595959" w:themeColor="text1" w:themeTint="A6"/>
      <w:szCs w:val="24"/>
      <w:lang w:eastAsia="en-US"/>
    </w:rPr>
  </w:style>
  <w:style w:type="character" w:customStyle="1" w:styleId="Emphasis-Bold">
    <w:name w:val="Emphasis - Bold"/>
    <w:rsid w:val="00247409"/>
    <w:rPr>
      <w:rFonts w:ascii="Arial" w:hAnsi="Arial" w:cs="Arial"/>
      <w:b/>
      <w:color w:val="000000"/>
    </w:rPr>
  </w:style>
  <w:style w:type="character" w:customStyle="1" w:styleId="Emphasis-Italics">
    <w:name w:val="Emphasis - Italics"/>
    <w:rsid w:val="00247409"/>
    <w:rPr>
      <w:i/>
    </w:rPr>
  </w:style>
  <w:style w:type="paragraph" w:styleId="ListBullet4">
    <w:name w:val="List Bullet 4"/>
    <w:basedOn w:val="Normal"/>
    <w:semiHidden/>
    <w:rsid w:val="00247409"/>
    <w:pPr>
      <w:tabs>
        <w:tab w:val="num" w:pos="1209"/>
      </w:tabs>
      <w:ind w:left="1209" w:hanging="360"/>
    </w:pPr>
  </w:style>
  <w:style w:type="numbering" w:styleId="111111">
    <w:name w:val="Outline List 2"/>
    <w:basedOn w:val="NoList"/>
    <w:semiHidden/>
    <w:rsid w:val="00247409"/>
    <w:pPr>
      <w:numPr>
        <w:numId w:val="15"/>
      </w:numPr>
    </w:pPr>
  </w:style>
  <w:style w:type="character" w:customStyle="1" w:styleId="Bold">
    <w:name w:val="Bold"/>
    <w:rsid w:val="00F250DA"/>
    <w:rPr>
      <w:b/>
    </w:rPr>
  </w:style>
  <w:style w:type="paragraph" w:customStyle="1" w:styleId="pulloutdotpoint">
    <w:name w:val="pullout dot point"/>
    <w:basedOn w:val="ListBullet"/>
    <w:uiPriority w:val="9"/>
    <w:qFormat/>
    <w:rsid w:val="00A32753"/>
    <w:pPr>
      <w:numPr>
        <w:numId w:val="0"/>
      </w:numPr>
      <w:tabs>
        <w:tab w:val="left" w:pos="357"/>
      </w:tabs>
    </w:pPr>
    <w:rPr>
      <w:color w:val="419997"/>
      <w:sz w:val="23"/>
      <w:szCs w:val="23"/>
    </w:rPr>
  </w:style>
  <w:style w:type="paragraph" w:customStyle="1" w:styleId="TableBodyText">
    <w:name w:val="Table Body Text"/>
    <w:basedOn w:val="Normal"/>
    <w:unhideWhenUsed/>
    <w:qFormat/>
    <w:rsid w:val="00A32753"/>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A32753"/>
    <w:pPr>
      <w:spacing w:before="50" w:after="50"/>
      <w:jc w:val="center"/>
    </w:pPr>
    <w:rPr>
      <w:color w:val="798D28"/>
      <w:spacing w:val="-2"/>
      <w:sz w:val="32"/>
      <w:szCs w:val="32"/>
    </w:rPr>
  </w:style>
  <w:style w:type="character" w:customStyle="1" w:styleId="TableBodyText-Italics">
    <w:name w:val="Table Body Text - Italics"/>
    <w:unhideWhenUsed/>
    <w:qFormat/>
    <w:rsid w:val="00A32753"/>
    <w:rPr>
      <w:rFonts w:ascii="Arial" w:hAnsi="Arial"/>
      <w:i/>
      <w:sz w:val="18"/>
    </w:rPr>
  </w:style>
  <w:style w:type="paragraph" w:styleId="ListNumber3">
    <w:name w:val="List Number 3"/>
    <w:basedOn w:val="Normal"/>
    <w:uiPriority w:val="1"/>
    <w:rsid w:val="008232FD"/>
    <w:pPr>
      <w:tabs>
        <w:tab w:val="num" w:pos="926"/>
      </w:tabs>
      <w:ind w:left="926" w:hanging="360"/>
    </w:pPr>
  </w:style>
  <w:style w:type="paragraph" w:customStyle="1" w:styleId="pulldot">
    <w:name w:val="pull dot"/>
    <w:basedOn w:val="ListBullet"/>
    <w:qFormat/>
    <w:rsid w:val="00A32753"/>
    <w:pPr>
      <w:numPr>
        <w:numId w:val="0"/>
      </w:numPr>
      <w:tabs>
        <w:tab w:val="left" w:pos="357"/>
      </w:tabs>
    </w:pPr>
    <w:rPr>
      <w:color w:val="419997"/>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ivacy.vic.gov.au/domino/privacyvic/web2.nsf/pages/ho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urcommunity.com.au/financial/financial_article.jsp?articleId=29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to.gov.au/General/Other-languages/In-detail/Information-in-other-languages/Record-keeping-for-small-business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bac.vi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7A2B-F767-481B-A723-92C8AA13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Jeni Bright</cp:lastModifiedBy>
  <cp:revision>5</cp:revision>
  <cp:lastPrinted>2015-10-26T10:19:00Z</cp:lastPrinted>
  <dcterms:created xsi:type="dcterms:W3CDTF">2015-10-26T10:00:00Z</dcterms:created>
  <dcterms:modified xsi:type="dcterms:W3CDTF">2015-10-26T10:19:00Z</dcterms:modified>
</cp:coreProperties>
</file>