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7530E4" w:rsidTr="007D4B4C">
        <w:trPr>
          <w:trHeight w:hRule="exact" w:val="2705"/>
        </w:trPr>
        <w:tc>
          <w:tcPr>
            <w:tcW w:w="10413" w:type="dxa"/>
            <w:shd w:val="clear" w:color="auto" w:fill="auto"/>
          </w:tcPr>
          <w:p w:rsidR="00EA2B53" w:rsidRPr="007530E4" w:rsidRDefault="007D4B4C" w:rsidP="00915D5A">
            <w:pPr>
              <w:pStyle w:val="Toptitle"/>
              <w:framePr w:hSpace="0" w:wrap="auto" w:vAnchor="margin" w:hAnchor="text" w:yAlign="inline"/>
            </w:pPr>
            <w:r w:rsidRPr="007530E4">
              <w:t>Induction and education</w:t>
            </w:r>
          </w:p>
          <w:p w:rsidR="00EA2B53" w:rsidRPr="007530E4" w:rsidRDefault="00EA2B53" w:rsidP="00C85630">
            <w:pPr>
              <w:pStyle w:val="Topsubtitle"/>
              <w:framePr w:hSpace="0" w:wrap="auto" w:vAnchor="margin" w:hAnchor="text" w:yAlign="inline"/>
              <w:rPr>
                <w:sz w:val="47"/>
                <w:szCs w:val="47"/>
              </w:rPr>
            </w:pPr>
            <w:r w:rsidRPr="007530E4">
              <w:rPr>
                <w:noProof/>
                <w:sz w:val="47"/>
                <w:szCs w:val="47"/>
                <w:lang w:eastAsia="en-AU"/>
              </w:rPr>
              <mc:AlternateContent>
                <mc:Choice Requires="wps">
                  <w:drawing>
                    <wp:anchor distT="0" distB="0" distL="114300" distR="114300" simplePos="0" relativeHeight="251661824" behindDoc="0" locked="0" layoutInCell="1" allowOverlap="1" wp14:anchorId="487D47CE" wp14:editId="09387B83">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rsidR="007E3C9C" w:rsidRPr="007530E4">
              <w:rPr>
                <w:sz w:val="47"/>
                <w:szCs w:val="47"/>
              </w:rPr>
              <w:t>(5</w:t>
            </w:r>
            <w:r w:rsidR="0020300D" w:rsidRPr="007530E4">
              <w:rPr>
                <w:sz w:val="47"/>
                <w:szCs w:val="47"/>
              </w:rPr>
              <w:t xml:space="preserve">) </w:t>
            </w:r>
            <w:r w:rsidR="00A35BF0" w:rsidRPr="007530E4">
              <w:rPr>
                <w:sz w:val="47"/>
                <w:szCs w:val="47"/>
              </w:rPr>
              <w:t>Induction programs</w:t>
            </w:r>
            <w:r w:rsidR="00C85630" w:rsidRPr="007530E4">
              <w:rPr>
                <w:sz w:val="47"/>
                <w:szCs w:val="47"/>
              </w:rPr>
              <w:t xml:space="preserve"> and kits</w:t>
            </w:r>
            <w:r w:rsidR="00DF1B4D" w:rsidRPr="007530E4">
              <w:rPr>
                <w:sz w:val="47"/>
                <w:szCs w:val="47"/>
              </w:rPr>
              <w:t xml:space="preserve"> – minimum contents</w:t>
            </w:r>
          </w:p>
        </w:tc>
      </w:tr>
    </w:tbl>
    <w:p w:rsidR="002C12AF" w:rsidRPr="007530E4" w:rsidRDefault="002C12AF" w:rsidP="00EA2B53">
      <w:pPr>
        <w:spacing w:before="400"/>
      </w:pPr>
    </w:p>
    <w:p w:rsidR="00830822" w:rsidRPr="007530E4" w:rsidRDefault="00154170" w:rsidP="00E0680E">
      <w:pPr>
        <w:spacing w:before="260" w:after="60"/>
      </w:pPr>
      <w:r w:rsidRPr="007530E4">
        <w:t>This guidance note</w:t>
      </w:r>
      <w:r w:rsidR="002537A2" w:rsidRPr="007530E4">
        <w:t xml:space="preserve"> </w:t>
      </w:r>
      <w:r w:rsidRPr="007530E4">
        <w:t xml:space="preserve">is for use by board members of </w:t>
      </w:r>
      <w:r w:rsidR="00830822" w:rsidRPr="007530E4">
        <w:t>the over 100 major</w:t>
      </w:r>
      <w:r w:rsidRPr="007530E4">
        <w:t xml:space="preserve"> public entities and other statutory boards, committees, councils, panels, etc. in the Department of Environment, Land, Water and Planning (DELWP) portfolio, including large (category 1 and 2) committees of management</w:t>
      </w:r>
      <w:r w:rsidR="00702F83" w:rsidRPr="007530E4">
        <w:t xml:space="preserve"> of </w:t>
      </w:r>
      <w:r w:rsidR="00E00511" w:rsidRPr="007530E4">
        <w:t>C</w:t>
      </w:r>
      <w:r w:rsidR="00702F83" w:rsidRPr="007530E4">
        <w:t>rown land reserves</w:t>
      </w:r>
      <w:r w:rsidR="00F26B7C" w:rsidRPr="007530E4">
        <w:t>.</w:t>
      </w:r>
      <w:r w:rsidR="001B371D" w:rsidRPr="007530E4">
        <w:t xml:space="preserve">  </w:t>
      </w:r>
    </w:p>
    <w:p w:rsidR="00BD3DA8" w:rsidRPr="007530E4" w:rsidRDefault="00BD3DA8" w:rsidP="000F1B8D"/>
    <w:p w:rsidR="00BD3DA8" w:rsidRPr="007530E4" w:rsidRDefault="00BD3DA8" w:rsidP="00BD3DA8">
      <w:pPr>
        <w:sectPr w:rsidR="00BD3DA8" w:rsidRPr="007530E4"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BD3DA8" w:rsidRPr="007530E4" w:rsidRDefault="00BD3DA8" w:rsidP="001B371D">
      <w:pPr>
        <w:pStyle w:val="Heading1"/>
        <w:spacing w:before="0" w:after="80"/>
      </w:pPr>
      <w:r w:rsidRPr="007530E4">
        <w:lastRenderedPageBreak/>
        <w:t>Overview</w:t>
      </w:r>
    </w:p>
    <w:p w:rsidR="001B371D" w:rsidRPr="007530E4" w:rsidRDefault="001B371D" w:rsidP="00497268">
      <w:pPr>
        <w:spacing w:after="100"/>
      </w:pPr>
      <w:r w:rsidRPr="007530E4">
        <w:t>To assist the effective operation of the board:</w:t>
      </w:r>
    </w:p>
    <w:p w:rsidR="00741E80" w:rsidRPr="007530E4" w:rsidRDefault="008516C7" w:rsidP="00497268">
      <w:pPr>
        <w:pStyle w:val="ListBullet"/>
        <w:tabs>
          <w:tab w:val="clear" w:pos="360"/>
          <w:tab w:val="num" w:pos="1431"/>
        </w:tabs>
        <w:spacing w:after="100"/>
        <w:rPr>
          <w:lang w:val="en" w:eastAsia="en-AU"/>
        </w:rPr>
      </w:pPr>
      <w:r w:rsidRPr="007530E4">
        <w:rPr>
          <w:lang w:val="en" w:eastAsia="en-AU"/>
        </w:rPr>
        <w:t>E</w:t>
      </w:r>
      <w:r w:rsidR="005B56AA" w:rsidRPr="007530E4">
        <w:rPr>
          <w:lang w:val="en" w:eastAsia="en-AU"/>
        </w:rPr>
        <w:t xml:space="preserve">ach </w:t>
      </w:r>
      <w:r w:rsidR="007F58FB" w:rsidRPr="007530E4">
        <w:rPr>
          <w:lang w:val="en" w:eastAsia="en-AU"/>
        </w:rPr>
        <w:t>member</w:t>
      </w:r>
      <w:r w:rsidR="005B56AA" w:rsidRPr="007530E4">
        <w:rPr>
          <w:lang w:val="en" w:eastAsia="en-AU"/>
        </w:rPr>
        <w:t xml:space="preserve"> appointed or reappointed to the board </w:t>
      </w:r>
      <w:r w:rsidR="003A7647" w:rsidRPr="007530E4">
        <w:rPr>
          <w:lang w:val="en" w:eastAsia="en-AU"/>
        </w:rPr>
        <w:t>should</w:t>
      </w:r>
      <w:r w:rsidR="0017104D" w:rsidRPr="007530E4">
        <w:rPr>
          <w:lang w:val="en" w:eastAsia="en-AU"/>
        </w:rPr>
        <w:t xml:space="preserve"> </w:t>
      </w:r>
      <w:r w:rsidR="00741E80" w:rsidRPr="007530E4">
        <w:rPr>
          <w:lang w:val="en" w:eastAsia="en-AU"/>
        </w:rPr>
        <w:t>receive</w:t>
      </w:r>
      <w:r w:rsidR="00C6366F" w:rsidRPr="007530E4">
        <w:rPr>
          <w:lang w:val="en" w:eastAsia="en-AU"/>
        </w:rPr>
        <w:t xml:space="preserve"> a suitable</w:t>
      </w:r>
      <w:r w:rsidR="00DC30D1" w:rsidRPr="007530E4">
        <w:rPr>
          <w:lang w:val="en" w:eastAsia="en-AU"/>
        </w:rPr>
        <w:t xml:space="preserve"> induction, including</w:t>
      </w:r>
      <w:r w:rsidR="00741E80" w:rsidRPr="007530E4">
        <w:rPr>
          <w:lang w:val="en" w:eastAsia="en-AU"/>
        </w:rPr>
        <w:t xml:space="preserve">: </w:t>
      </w:r>
    </w:p>
    <w:p w:rsidR="00ED2ECA" w:rsidRPr="006720C7" w:rsidRDefault="00741E80" w:rsidP="00497268">
      <w:pPr>
        <w:pStyle w:val="ListBullet2"/>
        <w:tabs>
          <w:tab w:val="clear" w:pos="340"/>
          <w:tab w:val="left" w:pos="567"/>
        </w:tabs>
        <w:ind w:left="567" w:hanging="283"/>
        <w:rPr>
          <w:lang w:val="en" w:eastAsia="en-AU"/>
        </w:rPr>
      </w:pPr>
      <w:r w:rsidRPr="006720C7">
        <w:rPr>
          <w:lang w:val="en" w:eastAsia="en-AU"/>
        </w:rPr>
        <w:t>induction</w:t>
      </w:r>
      <w:r w:rsidR="005B56AA" w:rsidRPr="006720C7">
        <w:rPr>
          <w:lang w:val="en" w:eastAsia="en-AU"/>
        </w:rPr>
        <w:t xml:space="preserve"> program </w:t>
      </w:r>
    </w:p>
    <w:p w:rsidR="00741E80" w:rsidRPr="006720C7" w:rsidRDefault="00ED2ECA" w:rsidP="00497268">
      <w:pPr>
        <w:pStyle w:val="ListBullet2"/>
        <w:tabs>
          <w:tab w:val="clear" w:pos="340"/>
          <w:tab w:val="left" w:pos="567"/>
        </w:tabs>
        <w:ind w:left="567" w:hanging="283"/>
        <w:rPr>
          <w:lang w:val="en" w:eastAsia="en-AU"/>
        </w:rPr>
      </w:pPr>
      <w:r w:rsidRPr="006720C7">
        <w:rPr>
          <w:lang w:val="en" w:eastAsia="en-AU"/>
        </w:rPr>
        <w:t xml:space="preserve">induction </w:t>
      </w:r>
      <w:r w:rsidR="005B56AA" w:rsidRPr="006720C7">
        <w:rPr>
          <w:lang w:val="en" w:eastAsia="en-AU"/>
        </w:rPr>
        <w:t>kit</w:t>
      </w:r>
      <w:r w:rsidR="004940AA" w:rsidRPr="006720C7">
        <w:rPr>
          <w:lang w:val="en" w:eastAsia="en-AU"/>
        </w:rPr>
        <w:t xml:space="preserve"> </w:t>
      </w:r>
    </w:p>
    <w:p w:rsidR="005B56AA" w:rsidRPr="007530E4" w:rsidRDefault="005B56AA" w:rsidP="00497268">
      <w:pPr>
        <w:pStyle w:val="ListBullet2"/>
        <w:tabs>
          <w:tab w:val="clear" w:pos="340"/>
          <w:tab w:val="left" w:pos="567"/>
        </w:tabs>
        <w:ind w:left="567" w:hanging="283"/>
        <w:rPr>
          <w:lang w:val="en" w:eastAsia="en-AU"/>
        </w:rPr>
      </w:pPr>
      <w:r w:rsidRPr="006720C7">
        <w:rPr>
          <w:lang w:val="en" w:eastAsia="en-AU"/>
        </w:rPr>
        <w:t>briefing</w:t>
      </w:r>
      <w:r w:rsidR="00A34FB7" w:rsidRPr="006720C7">
        <w:rPr>
          <w:lang w:val="en" w:eastAsia="en-AU"/>
        </w:rPr>
        <w:t xml:space="preserve"> from</w:t>
      </w:r>
      <w:r w:rsidR="00A34FB7" w:rsidRPr="007530E4">
        <w:rPr>
          <w:lang w:val="en" w:eastAsia="en-AU"/>
        </w:rPr>
        <w:t xml:space="preserve"> the chair</w:t>
      </w:r>
      <w:r w:rsidR="004940AA" w:rsidRPr="007530E4">
        <w:rPr>
          <w:lang w:val="en" w:eastAsia="en-AU"/>
        </w:rPr>
        <w:t xml:space="preserve">, </w:t>
      </w:r>
      <w:r w:rsidRPr="007530E4">
        <w:rPr>
          <w:lang w:val="en" w:eastAsia="en-AU"/>
        </w:rPr>
        <w:t>preferably</w:t>
      </w:r>
      <w:r w:rsidR="00A34FB7" w:rsidRPr="007530E4">
        <w:rPr>
          <w:lang w:val="en" w:eastAsia="en-AU"/>
        </w:rPr>
        <w:t xml:space="preserve"> </w:t>
      </w:r>
      <w:r w:rsidRPr="007530E4">
        <w:rPr>
          <w:lang w:val="en" w:eastAsia="en-AU"/>
        </w:rPr>
        <w:t>one</w:t>
      </w:r>
      <w:r w:rsidR="00A34FB7" w:rsidRPr="007530E4">
        <w:rPr>
          <w:lang w:val="en" w:eastAsia="en-AU"/>
        </w:rPr>
        <w:t>-</w:t>
      </w:r>
      <w:r w:rsidRPr="007530E4">
        <w:rPr>
          <w:lang w:val="en" w:eastAsia="en-AU"/>
        </w:rPr>
        <w:t>on</w:t>
      </w:r>
      <w:r w:rsidR="00A34FB7" w:rsidRPr="007530E4">
        <w:rPr>
          <w:lang w:val="en" w:eastAsia="en-AU"/>
        </w:rPr>
        <w:t>-</w:t>
      </w:r>
      <w:r w:rsidRPr="007530E4">
        <w:rPr>
          <w:lang w:val="en" w:eastAsia="en-AU"/>
        </w:rPr>
        <w:t>one.</w:t>
      </w:r>
    </w:p>
    <w:p w:rsidR="000566BB" w:rsidRPr="007530E4" w:rsidRDefault="000566BB" w:rsidP="00497268">
      <w:pPr>
        <w:pStyle w:val="ListBullet"/>
        <w:spacing w:after="100"/>
      </w:pPr>
      <w:r w:rsidRPr="007530E4">
        <w:t>Incoming board members should satisfy themselves that the induction they receive is suitable and should not hesitate to request further informatio</w:t>
      </w:r>
      <w:r w:rsidR="0017104D" w:rsidRPr="007530E4">
        <w:t>n</w:t>
      </w:r>
      <w:r w:rsidRPr="007530E4">
        <w:t>.</w:t>
      </w:r>
    </w:p>
    <w:p w:rsidR="008C2376" w:rsidRPr="007530E4" w:rsidRDefault="008C2376" w:rsidP="00497268">
      <w:pPr>
        <w:pStyle w:val="ListBullet"/>
        <w:spacing w:after="100"/>
      </w:pPr>
      <w:r w:rsidRPr="007530E4">
        <w:t>Incoming chairs are encouraged to request DELWP</w:t>
      </w:r>
      <w:r w:rsidR="00924827" w:rsidRPr="007530E4">
        <w:t xml:space="preserve"> to</w:t>
      </w:r>
      <w:r w:rsidRPr="007530E4">
        <w:t xml:space="preserve"> provide them with a chairperson’s induction briefing.</w:t>
      </w:r>
    </w:p>
    <w:p w:rsidR="005B56AA" w:rsidRPr="007530E4" w:rsidRDefault="005B56AA" w:rsidP="00497268">
      <w:pPr>
        <w:pStyle w:val="ListBullet"/>
        <w:spacing w:after="100"/>
        <w:rPr>
          <w:lang w:val="en" w:eastAsia="en-AU"/>
        </w:rPr>
      </w:pPr>
      <w:r w:rsidRPr="007530E4">
        <w:rPr>
          <w:lang w:val="en" w:eastAsia="en-AU"/>
        </w:rPr>
        <w:t>During the term of their appointment, board members should be assisted by the agency to remain up-to-date with new laws</w:t>
      </w:r>
      <w:r w:rsidR="00866DB4">
        <w:rPr>
          <w:lang w:val="en" w:eastAsia="en-AU"/>
        </w:rPr>
        <w:t>,</w:t>
      </w:r>
      <w:r w:rsidRPr="007530E4">
        <w:rPr>
          <w:lang w:val="en" w:eastAsia="en-AU"/>
        </w:rPr>
        <w:t xml:space="preserve"> government policy, governance obligations and best practice, etc.</w:t>
      </w:r>
    </w:p>
    <w:p w:rsidR="00746422" w:rsidRPr="007530E4" w:rsidRDefault="00434C7E" w:rsidP="00291DB8">
      <w:pPr>
        <w:pStyle w:val="Heading1"/>
        <w:spacing w:before="0" w:after="40"/>
      </w:pPr>
      <w:r w:rsidRPr="007530E4">
        <w:br w:type="column"/>
      </w:r>
      <w:r w:rsidRPr="007530E4">
        <w:lastRenderedPageBreak/>
        <w:t>Developing an induction program and kit</w:t>
      </w:r>
    </w:p>
    <w:p w:rsidR="0099590A" w:rsidRPr="007530E4" w:rsidRDefault="00B00A25" w:rsidP="00291DB8">
      <w:pPr>
        <w:spacing w:before="200" w:after="100"/>
      </w:pPr>
      <w:r w:rsidRPr="007530E4">
        <w:t xml:space="preserve">The induction program and kit for board members should include the minimum contents set out </w:t>
      </w:r>
      <w:r w:rsidR="0099590A" w:rsidRPr="007530E4">
        <w:t>on the next pages</w:t>
      </w:r>
      <w:r w:rsidRPr="007530E4">
        <w:t>.</w:t>
      </w:r>
      <w:r w:rsidR="00DF195F" w:rsidRPr="007530E4">
        <w:t xml:space="preserve">  </w:t>
      </w:r>
    </w:p>
    <w:p w:rsidR="008E0C65" w:rsidRPr="007530E4" w:rsidRDefault="00DF195F" w:rsidP="0099590A">
      <w:r w:rsidRPr="007530E4">
        <w:t xml:space="preserve">These are based on binding requirements in </w:t>
      </w:r>
      <w:r w:rsidRPr="007530E4">
        <w:rPr>
          <w:i/>
        </w:rPr>
        <w:t xml:space="preserve">Premier’s Circular 2015/02, </w:t>
      </w:r>
      <w:r w:rsidRPr="007530E4">
        <w:t xml:space="preserve">signed by the </w:t>
      </w:r>
      <w:r w:rsidR="0099590A" w:rsidRPr="007530E4">
        <w:t xml:space="preserve">Victorian </w:t>
      </w:r>
      <w:r w:rsidRPr="007530E4">
        <w:t xml:space="preserve">Premier on </w:t>
      </w:r>
      <w:r w:rsidR="00E40351">
        <w:br/>
      </w:r>
      <w:r w:rsidRPr="007530E4">
        <w:t>19 October 2015.</w:t>
      </w:r>
    </w:p>
    <w:p w:rsidR="00DF195F" w:rsidRPr="007530E4" w:rsidRDefault="00DF195F" w:rsidP="0099590A">
      <w:pPr>
        <w:pStyle w:val="Heading2"/>
        <w:pBdr>
          <w:top w:val="single" w:sz="36" w:space="7" w:color="C6D9F1" w:themeColor="text2" w:themeTint="33"/>
          <w:left w:val="single" w:sz="36" w:space="4" w:color="C6D9F1" w:themeColor="text2" w:themeTint="33"/>
          <w:bottom w:val="single" w:sz="36" w:space="7" w:color="C6D9F1" w:themeColor="text2" w:themeTint="33"/>
          <w:right w:val="single" w:sz="36" w:space="4" w:color="C6D9F1" w:themeColor="text2" w:themeTint="33"/>
        </w:pBdr>
        <w:tabs>
          <w:tab w:val="left" w:pos="2268"/>
        </w:tabs>
        <w:spacing w:after="80"/>
      </w:pPr>
      <w:r w:rsidRPr="007530E4">
        <w:t>‘Fit for purpose’</w:t>
      </w:r>
    </w:p>
    <w:p w:rsidR="0099590A" w:rsidRPr="007530E4" w:rsidRDefault="00D35285" w:rsidP="00291DB8">
      <w:pPr>
        <w:pBdr>
          <w:top w:val="single" w:sz="36" w:space="7" w:color="C6D9F1" w:themeColor="text2" w:themeTint="33"/>
          <w:left w:val="single" w:sz="36" w:space="4" w:color="C6D9F1" w:themeColor="text2" w:themeTint="33"/>
          <w:bottom w:val="single" w:sz="36" w:space="7" w:color="C6D9F1" w:themeColor="text2" w:themeTint="33"/>
          <w:right w:val="single" w:sz="36" w:space="4" w:color="C6D9F1" w:themeColor="text2" w:themeTint="33"/>
        </w:pBdr>
        <w:tabs>
          <w:tab w:val="left" w:pos="2268"/>
        </w:tabs>
        <w:spacing w:after="100" w:line="250" w:lineRule="atLeast"/>
      </w:pPr>
      <w:r>
        <w:t>Whether</w:t>
      </w:r>
      <w:r w:rsidR="00DF195F" w:rsidRPr="007530E4">
        <w:t xml:space="preserve"> a </w:t>
      </w:r>
      <w:r>
        <w:t xml:space="preserve">particular </w:t>
      </w:r>
      <w:r w:rsidR="00DF195F" w:rsidRPr="007530E4">
        <w:t xml:space="preserve">topic is covered in the induction program </w:t>
      </w:r>
      <w:r>
        <w:t xml:space="preserve">itself – and, if so, to what extent - </w:t>
      </w:r>
      <w:r w:rsidR="00DF195F" w:rsidRPr="007530E4">
        <w:t xml:space="preserve">is </w:t>
      </w:r>
      <w:r w:rsidR="00DF195F" w:rsidRPr="007530E4">
        <w:rPr>
          <w:b/>
        </w:rPr>
        <w:t>flexible</w:t>
      </w:r>
      <w:r w:rsidR="00DF195F" w:rsidRPr="007530E4">
        <w:t xml:space="preserve">, provided </w:t>
      </w:r>
      <w:r w:rsidR="00540856" w:rsidRPr="007530E4">
        <w:t xml:space="preserve">that </w:t>
      </w:r>
      <w:r w:rsidR="00DF195F" w:rsidRPr="007530E4">
        <w:t>relevant guidance materials are included in the induction kit.</w:t>
      </w:r>
      <w:r w:rsidR="0099590A" w:rsidRPr="007530E4">
        <w:t xml:space="preserve">  </w:t>
      </w:r>
    </w:p>
    <w:p w:rsidR="0099590A" w:rsidRPr="007530E4" w:rsidRDefault="0099590A" w:rsidP="0099590A">
      <w:pPr>
        <w:pBdr>
          <w:top w:val="single" w:sz="36" w:space="7" w:color="C6D9F1" w:themeColor="text2" w:themeTint="33"/>
          <w:left w:val="single" w:sz="36" w:space="4" w:color="C6D9F1" w:themeColor="text2" w:themeTint="33"/>
          <w:bottom w:val="single" w:sz="36" w:space="7" w:color="C6D9F1" w:themeColor="text2" w:themeTint="33"/>
          <w:right w:val="single" w:sz="36" w:space="4" w:color="C6D9F1" w:themeColor="text2" w:themeTint="33"/>
        </w:pBdr>
        <w:tabs>
          <w:tab w:val="left" w:pos="2268"/>
        </w:tabs>
        <w:spacing w:after="240" w:line="250" w:lineRule="atLeast"/>
      </w:pPr>
      <w:r w:rsidRPr="007530E4">
        <w:t xml:space="preserve">This will help to ensure that the induction program is </w:t>
      </w:r>
      <w:r w:rsidR="00812142" w:rsidRPr="007530E4">
        <w:br/>
      </w:r>
      <w:r w:rsidRPr="007530E4">
        <w:t xml:space="preserve">‘fit for purpose’ – </w:t>
      </w:r>
      <w:r w:rsidR="004C702A" w:rsidRPr="007530E4">
        <w:t xml:space="preserve">i.e. </w:t>
      </w:r>
      <w:r w:rsidRPr="007530E4">
        <w:t>tailored to meet the needs of th</w:t>
      </w:r>
      <w:r w:rsidR="00B05FFE" w:rsidRPr="007530E4">
        <w:t>at</w:t>
      </w:r>
      <w:r w:rsidR="00D97C64" w:rsidRPr="007530E4">
        <w:t xml:space="preserve"> particular</w:t>
      </w:r>
      <w:r w:rsidRPr="007530E4">
        <w:t xml:space="preserve"> incoming board</w:t>
      </w:r>
      <w:r w:rsidR="00D97C64" w:rsidRPr="007530E4">
        <w:t xml:space="preserve"> at that </w:t>
      </w:r>
      <w:r w:rsidR="00B05FFE" w:rsidRPr="007530E4">
        <w:t xml:space="preserve">particular </w:t>
      </w:r>
      <w:r w:rsidR="00D97C64" w:rsidRPr="007530E4">
        <w:t>time</w:t>
      </w:r>
      <w:r w:rsidRPr="007530E4">
        <w:t xml:space="preserve">.  </w:t>
      </w:r>
    </w:p>
    <w:p w:rsidR="00812142" w:rsidRPr="007530E4" w:rsidRDefault="0099590A" w:rsidP="00291DB8">
      <w:pPr>
        <w:spacing w:after="100"/>
      </w:pPr>
      <w:r w:rsidRPr="007530E4">
        <w:t xml:space="preserve">DELWP </w:t>
      </w:r>
      <w:r w:rsidR="004C702A" w:rsidRPr="007530E4">
        <w:t>liaises</w:t>
      </w:r>
      <w:r w:rsidRPr="007530E4">
        <w:t xml:space="preserve"> with the incoming chair </w:t>
      </w:r>
      <w:r w:rsidR="00812142" w:rsidRPr="007530E4">
        <w:t xml:space="preserve">of the agency in relation to </w:t>
      </w:r>
      <w:r w:rsidR="004C702A" w:rsidRPr="007530E4">
        <w:t xml:space="preserve">the </w:t>
      </w:r>
      <w:r w:rsidR="006A508D" w:rsidRPr="007530E4">
        <w:t xml:space="preserve">appropriate level of involvement by the </w:t>
      </w:r>
      <w:r w:rsidR="004C702A" w:rsidRPr="007530E4">
        <w:t>department</w:t>
      </w:r>
      <w:r w:rsidR="006A508D" w:rsidRPr="007530E4">
        <w:t xml:space="preserve"> in the design and delivery of the induction program and kit.</w:t>
      </w:r>
      <w:r w:rsidR="00812142" w:rsidRPr="007530E4">
        <w:t xml:space="preserve">  </w:t>
      </w:r>
    </w:p>
    <w:p w:rsidR="006A508D" w:rsidRPr="007530E4" w:rsidRDefault="00812142" w:rsidP="00291DB8">
      <w:pPr>
        <w:spacing w:after="100"/>
      </w:pPr>
      <w:r w:rsidRPr="007530E4">
        <w:t>DELWP’s involvement is on a collaborative basis</w:t>
      </w:r>
      <w:r w:rsidR="00971093">
        <w:t xml:space="preserve">.  DELWP’s level of involvement will </w:t>
      </w:r>
      <w:r w:rsidR="006A508D" w:rsidRPr="007530E4">
        <w:t xml:space="preserve">depend on a number of factors, for example: </w:t>
      </w:r>
    </w:p>
    <w:p w:rsidR="006A508D" w:rsidRPr="007530E4" w:rsidRDefault="006A508D" w:rsidP="00291DB8">
      <w:pPr>
        <w:pStyle w:val="ListBullet"/>
        <w:spacing w:after="100"/>
      </w:pPr>
      <w:r w:rsidRPr="007530E4">
        <w:t xml:space="preserve">Is it a new agency?  </w:t>
      </w:r>
    </w:p>
    <w:p w:rsidR="006A508D" w:rsidRPr="007530E4" w:rsidRDefault="006A508D" w:rsidP="00291DB8">
      <w:pPr>
        <w:pStyle w:val="ListBullet"/>
        <w:spacing w:after="100"/>
      </w:pPr>
      <w:r w:rsidRPr="007530E4">
        <w:t xml:space="preserve">Is it an agency with a well-established induction program? </w:t>
      </w:r>
    </w:p>
    <w:p w:rsidR="006A508D" w:rsidRPr="007530E4" w:rsidRDefault="006A508D" w:rsidP="00291DB8">
      <w:pPr>
        <w:pStyle w:val="ListBullet"/>
        <w:spacing w:after="0"/>
      </w:pPr>
      <w:r w:rsidRPr="007530E4">
        <w:t>What are the ‘fit for purpose’ needs of the incoming board?</w:t>
      </w:r>
    </w:p>
    <w:p w:rsidR="00A21B4F" w:rsidRDefault="00A21B4F" w:rsidP="00806CF4">
      <w:r>
        <w:lastRenderedPageBreak/>
        <w:t xml:space="preserve">The </w:t>
      </w:r>
      <w:r w:rsidRPr="00A21B4F">
        <w:t>minimum</w:t>
      </w:r>
      <w:r>
        <w:t xml:space="preserve"> </w:t>
      </w:r>
      <w:r w:rsidR="005C55C9">
        <w:t>information to be provided at induction is</w:t>
      </w:r>
      <w:r>
        <w:t xml:space="preserve">: </w:t>
      </w:r>
    </w:p>
    <w:p w:rsidR="000D449B" w:rsidRPr="000D449B" w:rsidRDefault="000D449B" w:rsidP="000D449B">
      <w:pPr>
        <w:pStyle w:val="Heading2"/>
        <w:rPr>
          <w:rFonts w:ascii="Calibri" w:hAnsi="Calibri"/>
          <w:b w:val="0"/>
          <w:iCs w:val="0"/>
          <w:kern w:val="32"/>
          <w:sz w:val="37"/>
          <w:szCs w:val="32"/>
        </w:rPr>
      </w:pPr>
      <w:r w:rsidRPr="000D449B">
        <w:rPr>
          <w:rFonts w:ascii="Calibri" w:hAnsi="Calibri"/>
          <w:b w:val="0"/>
          <w:iCs w:val="0"/>
          <w:kern w:val="32"/>
          <w:sz w:val="37"/>
          <w:szCs w:val="32"/>
        </w:rPr>
        <w:t>Support from DELWP</w:t>
      </w:r>
    </w:p>
    <w:p w:rsidR="000D449B" w:rsidRPr="007530E4" w:rsidRDefault="000D449B" w:rsidP="000D449B">
      <w:pPr>
        <w:spacing w:after="160" w:line="260" w:lineRule="atLeast"/>
      </w:pPr>
      <w:r w:rsidRPr="007530E4">
        <w:t>Information on the support available from DELWP, including a copy of:</w:t>
      </w:r>
    </w:p>
    <w:p w:rsidR="000D449B" w:rsidRPr="007530E4" w:rsidRDefault="000D449B" w:rsidP="000D449B">
      <w:pPr>
        <w:tabs>
          <w:tab w:val="left" w:pos="426"/>
        </w:tabs>
        <w:ind w:left="426" w:hanging="426"/>
      </w:pPr>
      <w:r w:rsidRPr="00260D3E">
        <w:rPr>
          <w:color w:val="FFFFFF" w:themeColor="background1"/>
          <w:shd w:val="clear" w:color="auto" w:fill="31849B" w:themeFill="accent5" w:themeFillShade="BF"/>
        </w:rPr>
        <w:t>kit</w:t>
      </w:r>
      <w:r>
        <w:tab/>
      </w:r>
      <w:r w:rsidRPr="0064562A">
        <w:rPr>
          <w:b/>
        </w:rPr>
        <w:t>Governance resources available from DELWP</w:t>
      </w:r>
      <w:r w:rsidRPr="007530E4">
        <w:t xml:space="preserve"> </w:t>
      </w:r>
      <w:r>
        <w:br/>
        <w:t>(</w:t>
      </w:r>
      <w:r w:rsidRPr="007530E4">
        <w:t>DELWP guidance note</w:t>
      </w:r>
      <w:r>
        <w:t>).</w:t>
      </w:r>
    </w:p>
    <w:p w:rsidR="007530E4" w:rsidRPr="007530E4" w:rsidRDefault="007530E4" w:rsidP="001732CC">
      <w:pPr>
        <w:pStyle w:val="Heading1"/>
        <w:spacing w:before="0"/>
      </w:pPr>
      <w:r w:rsidRPr="007530E4">
        <w:t>Roles and responsibilities</w:t>
      </w:r>
    </w:p>
    <w:p w:rsidR="007530E4" w:rsidRDefault="00593AD2" w:rsidP="00190AA8">
      <w:pPr>
        <w:spacing w:after="160"/>
      </w:pPr>
      <w:r>
        <w:t>I</w:t>
      </w:r>
      <w:r w:rsidR="007530E4" w:rsidRPr="007530E4">
        <w:t xml:space="preserve">nformation on the respective roles of, and </w:t>
      </w:r>
      <w:r w:rsidR="0095725F">
        <w:t>relationship between</w:t>
      </w:r>
      <w:r w:rsidR="005B617F">
        <w:t>,</w:t>
      </w:r>
      <w:r w:rsidR="007530E4" w:rsidRPr="007530E4">
        <w:t xml:space="preserve"> the minister, </w:t>
      </w:r>
      <w:r w:rsidR="005B617F">
        <w:t>the department</w:t>
      </w:r>
      <w:r w:rsidR="007530E4" w:rsidRPr="007530E4">
        <w:t xml:space="preserve">, </w:t>
      </w:r>
      <w:r w:rsidR="005B617F">
        <w:t xml:space="preserve">the board, </w:t>
      </w:r>
      <w:r w:rsidR="007530E4" w:rsidRPr="007530E4">
        <w:t xml:space="preserve">and </w:t>
      </w:r>
      <w:r w:rsidR="00F0795A">
        <w:t xml:space="preserve">the agency’s </w:t>
      </w:r>
      <w:r w:rsidR="007530E4" w:rsidRPr="007530E4">
        <w:t>CEO/senior executives, including</w:t>
      </w:r>
      <w:r w:rsidR="0095725F">
        <w:t xml:space="preserve"> a copy of</w:t>
      </w:r>
      <w:r w:rsidR="007530E4" w:rsidRPr="007530E4">
        <w:t>:</w:t>
      </w:r>
    </w:p>
    <w:p w:rsidR="0095725F" w:rsidRPr="007530E4" w:rsidRDefault="00C628BC" w:rsidP="00190AA8">
      <w:pPr>
        <w:spacing w:after="160"/>
        <w:ind w:left="426" w:hanging="426"/>
      </w:pPr>
      <w:r w:rsidRPr="00260D3E">
        <w:rPr>
          <w:color w:val="FFFFFF" w:themeColor="background1"/>
          <w:shd w:val="clear" w:color="auto" w:fill="31849B" w:themeFill="accent5" w:themeFillShade="BF"/>
        </w:rPr>
        <w:t>kit</w:t>
      </w:r>
      <w:r>
        <w:tab/>
      </w:r>
      <w:hyperlink r:id="rId13" w:history="1">
        <w:r w:rsidR="0095725F" w:rsidRPr="007530E4">
          <w:rPr>
            <w:rStyle w:val="Hyperlink"/>
            <w:bCs/>
            <w:iCs/>
          </w:rPr>
          <w:t>Welcome to the board</w:t>
        </w:r>
      </w:hyperlink>
      <w:r w:rsidR="0095725F" w:rsidRPr="007530E4">
        <w:t xml:space="preserve">, published by the Victorian Public Sector Commission. </w:t>
      </w:r>
      <w:r w:rsidR="0095725F">
        <w:t xml:space="preserve"> </w:t>
      </w:r>
      <w:r w:rsidR="0095725F" w:rsidRPr="007530E4">
        <w:rPr>
          <w:szCs w:val="21"/>
        </w:rPr>
        <w:t xml:space="preserve">(The </w:t>
      </w:r>
      <w:r w:rsidR="0095725F" w:rsidRPr="007530E4">
        <w:rPr>
          <w:i/>
          <w:szCs w:val="21"/>
        </w:rPr>
        <w:t xml:space="preserve">DELWP guide to good governance </w:t>
      </w:r>
      <w:r w:rsidR="0095725F" w:rsidRPr="007530E4">
        <w:rPr>
          <w:szCs w:val="21"/>
        </w:rPr>
        <w:t>is currently being updated.  In the meantime, please use</w:t>
      </w:r>
      <w:r w:rsidR="0095725F">
        <w:rPr>
          <w:szCs w:val="21"/>
        </w:rPr>
        <w:t xml:space="preserve"> this generic publication</w:t>
      </w:r>
      <w:r w:rsidR="0095725F" w:rsidRPr="007530E4">
        <w:rPr>
          <w:szCs w:val="21"/>
        </w:rPr>
        <w:t>.)</w:t>
      </w:r>
    </w:p>
    <w:p w:rsidR="007530E4" w:rsidRDefault="00C628BC" w:rsidP="00960B62">
      <w:pPr>
        <w:tabs>
          <w:tab w:val="left" w:pos="426"/>
        </w:tabs>
        <w:spacing w:after="200"/>
        <w:ind w:left="425" w:hanging="425"/>
      </w:pPr>
      <w:r w:rsidRPr="00260D3E">
        <w:rPr>
          <w:color w:val="FFFFFF" w:themeColor="background1"/>
          <w:shd w:val="clear" w:color="auto" w:fill="31849B" w:themeFill="accent5" w:themeFillShade="BF"/>
        </w:rPr>
        <w:t>kit</w:t>
      </w:r>
      <w:r>
        <w:tab/>
      </w:r>
      <w:r w:rsidR="007530E4" w:rsidRPr="00C628BC">
        <w:rPr>
          <w:b/>
        </w:rPr>
        <w:t>Summary chart of roles and responsibilities</w:t>
      </w:r>
      <w:r>
        <w:t xml:space="preserve"> </w:t>
      </w:r>
      <w:r>
        <w:br/>
      </w:r>
      <w:r w:rsidR="00846CA9" w:rsidRPr="00846CA9">
        <w:t>(DELWP guidance note)</w:t>
      </w:r>
    </w:p>
    <w:p w:rsidR="0086079E" w:rsidRPr="00846CA9" w:rsidRDefault="0086079E" w:rsidP="0086079E">
      <w:pPr>
        <w:tabs>
          <w:tab w:val="left" w:pos="426"/>
        </w:tabs>
        <w:spacing w:after="300"/>
        <w:ind w:left="425" w:hanging="425"/>
      </w:pPr>
      <w:r w:rsidRPr="00260D3E">
        <w:rPr>
          <w:color w:val="FFFFFF" w:themeColor="background1"/>
          <w:shd w:val="clear" w:color="auto" w:fill="31849B" w:themeFill="accent5" w:themeFillShade="BF"/>
        </w:rPr>
        <w:t>kit</w:t>
      </w:r>
      <w:r>
        <w:tab/>
      </w:r>
      <w:r>
        <w:rPr>
          <w:b/>
        </w:rPr>
        <w:t>Basic requirements of good governance</w:t>
      </w:r>
      <w:r>
        <w:t xml:space="preserve"> </w:t>
      </w:r>
      <w:r>
        <w:br/>
      </w:r>
      <w:r w:rsidRPr="00846CA9">
        <w:t>(DELWP guidance note)</w:t>
      </w:r>
      <w:r>
        <w:t>.</w:t>
      </w:r>
    </w:p>
    <w:p w:rsidR="007530E4" w:rsidRPr="007530E4" w:rsidRDefault="007530E4" w:rsidP="00816084">
      <w:pPr>
        <w:spacing w:before="160" w:after="100"/>
      </w:pPr>
      <w:r w:rsidRPr="007530E4">
        <w:t>Of particular relevance is:</w:t>
      </w:r>
    </w:p>
    <w:p w:rsidR="007530E4" w:rsidRPr="007530E4" w:rsidRDefault="007530E4" w:rsidP="007530E4">
      <w:pPr>
        <w:pStyle w:val="ListBullet"/>
      </w:pPr>
      <w:r w:rsidRPr="007530E4">
        <w:t>the board’s accountability to minister</w:t>
      </w:r>
    </w:p>
    <w:p w:rsidR="007530E4" w:rsidRDefault="007530E4" w:rsidP="007530E4">
      <w:pPr>
        <w:pStyle w:val="ListBullet"/>
      </w:pPr>
      <w:r w:rsidRPr="007530E4">
        <w:t>DELWP’s oversight and support role on behalf of the minister (s 13A</w:t>
      </w:r>
      <w:r w:rsidRPr="007530E4">
        <w:rPr>
          <w:i/>
        </w:rPr>
        <w:t xml:space="preserve"> </w:t>
      </w:r>
      <w:r w:rsidRPr="007530E4">
        <w:t>of the</w:t>
      </w:r>
      <w:r w:rsidRPr="007530E4">
        <w:rPr>
          <w:i/>
        </w:rPr>
        <w:t xml:space="preserve"> Public Administration Act 2004</w:t>
      </w:r>
      <w:r w:rsidR="0063791E">
        <w:t>)</w:t>
      </w:r>
    </w:p>
    <w:p w:rsidR="0063791E" w:rsidRDefault="0063791E" w:rsidP="007530E4">
      <w:pPr>
        <w:pStyle w:val="ListBullet"/>
      </w:pPr>
      <w:r>
        <w:t>th</w:t>
      </w:r>
      <w:r w:rsidR="00816084">
        <w:t>e strategic role of the board v</w:t>
      </w:r>
      <w:r>
        <w:t xml:space="preserve"> the CEO’s role in managing the day-to-day operations of the agency. </w:t>
      </w:r>
    </w:p>
    <w:p w:rsidR="00E75948" w:rsidRDefault="00E75948" w:rsidP="00E75948">
      <w:pPr>
        <w:pStyle w:val="Heading2"/>
      </w:pPr>
      <w:r>
        <w:t xml:space="preserve">Public sector v private sector </w:t>
      </w:r>
    </w:p>
    <w:p w:rsidR="00E75948" w:rsidRPr="007530E4" w:rsidRDefault="00E75948" w:rsidP="00E75948">
      <w:r>
        <w:t>As part of ‘fit for purpose’ induction, it may be useful to provide the incoming board with the opportunity to compare the role and obligations of a public sector board member with those of a private sector board member.</w:t>
      </w:r>
    </w:p>
    <w:p w:rsidR="007530E4" w:rsidRPr="007530E4" w:rsidRDefault="0005159F" w:rsidP="007530E4">
      <w:pPr>
        <w:pStyle w:val="Heading2"/>
      </w:pPr>
      <w:r>
        <w:t>R</w:t>
      </w:r>
      <w:r w:rsidR="007530E4" w:rsidRPr="007530E4">
        <w:t>elationship-building</w:t>
      </w:r>
      <w:r>
        <w:t xml:space="preserve"> and networking</w:t>
      </w:r>
    </w:p>
    <w:p w:rsidR="007530E4" w:rsidRPr="007530E4" w:rsidRDefault="007530E4" w:rsidP="007530E4">
      <w:r w:rsidRPr="007530E4">
        <w:t xml:space="preserve">It will be </w:t>
      </w:r>
      <w:r w:rsidR="006B04C6">
        <w:t xml:space="preserve">also </w:t>
      </w:r>
      <w:r w:rsidRPr="007530E4">
        <w:t xml:space="preserve">beneficial for the induction program to </w:t>
      </w:r>
      <w:r w:rsidR="006B04C6">
        <w:t xml:space="preserve">actively </w:t>
      </w:r>
      <w:r w:rsidRPr="007530E4">
        <w:t>foster:</w:t>
      </w:r>
    </w:p>
    <w:p w:rsidR="007530E4" w:rsidRPr="007530E4" w:rsidRDefault="007530E4" w:rsidP="007530E4">
      <w:pPr>
        <w:pStyle w:val="ListBullet"/>
      </w:pPr>
      <w:r w:rsidRPr="007530E4">
        <w:t xml:space="preserve">a </w:t>
      </w:r>
      <w:r w:rsidR="00DA321D">
        <w:t xml:space="preserve">good working </w:t>
      </w:r>
      <w:r w:rsidRPr="007530E4">
        <w:t xml:space="preserve">relationship between </w:t>
      </w:r>
      <w:r w:rsidR="00DA321D">
        <w:t xml:space="preserve">the </w:t>
      </w:r>
      <w:r w:rsidRPr="007530E4">
        <w:t xml:space="preserve">members of the incoming board </w:t>
      </w:r>
    </w:p>
    <w:p w:rsidR="007530E4" w:rsidRPr="007530E4" w:rsidRDefault="007530E4" w:rsidP="007530E4">
      <w:pPr>
        <w:pStyle w:val="ListBullet"/>
      </w:pPr>
      <w:r w:rsidRPr="007530E4">
        <w:t xml:space="preserve">a positive relationship </w:t>
      </w:r>
      <w:r w:rsidR="00FA7F1D">
        <w:t>between the board and</w:t>
      </w:r>
      <w:r w:rsidRPr="007530E4">
        <w:t xml:space="preserve"> DELWP</w:t>
      </w:r>
    </w:p>
    <w:p w:rsidR="00CF40A7" w:rsidRPr="007530E4" w:rsidRDefault="007530E4" w:rsidP="00CF40A7">
      <w:pPr>
        <w:pStyle w:val="ListBullet"/>
      </w:pPr>
      <w:r w:rsidRPr="007530E4">
        <w:t>if more than one board attends the induction program together, networking between boards.</w:t>
      </w:r>
    </w:p>
    <w:p w:rsidR="000868C7" w:rsidRPr="007530E4" w:rsidRDefault="000868C7" w:rsidP="001732CC">
      <w:pPr>
        <w:pStyle w:val="Heading1"/>
        <w:spacing w:before="740"/>
      </w:pPr>
      <w:r w:rsidRPr="007530E4">
        <w:lastRenderedPageBreak/>
        <w:t>Operating environment</w:t>
      </w:r>
      <w:r w:rsidR="001B0CE5" w:rsidRPr="007530E4">
        <w:t xml:space="preserve"> </w:t>
      </w:r>
    </w:p>
    <w:p w:rsidR="00407907" w:rsidRPr="007530E4" w:rsidRDefault="00F55214" w:rsidP="0013573E">
      <w:r w:rsidRPr="007530E4">
        <w:t xml:space="preserve">Information on the ‘industry’ in which the agency operates, </w:t>
      </w:r>
      <w:r w:rsidR="00407907" w:rsidRPr="007530E4">
        <w:t>including</w:t>
      </w:r>
      <w:r w:rsidR="006664AF">
        <w:t xml:space="preserve"> a copy of</w:t>
      </w:r>
      <w:r w:rsidR="00407907" w:rsidRPr="007530E4">
        <w:t>:</w:t>
      </w:r>
      <w:r w:rsidRPr="007530E4">
        <w:t xml:space="preserve"> </w:t>
      </w:r>
    </w:p>
    <w:p w:rsidR="004E3891" w:rsidRPr="007530E4" w:rsidRDefault="007B03F3" w:rsidP="007B03F3">
      <w:pPr>
        <w:tabs>
          <w:tab w:val="left" w:pos="426"/>
        </w:tabs>
        <w:ind w:left="426" w:hanging="426"/>
      </w:pPr>
      <w:r w:rsidRPr="00260D3E">
        <w:rPr>
          <w:color w:val="FFFFFF" w:themeColor="background1"/>
          <w:shd w:val="clear" w:color="auto" w:fill="31849B" w:themeFill="accent5" w:themeFillShade="BF"/>
        </w:rPr>
        <w:t>kit</w:t>
      </w:r>
      <w:r>
        <w:tab/>
      </w:r>
      <w:r w:rsidR="002D0FE0" w:rsidRPr="007530E4">
        <w:t xml:space="preserve">any </w:t>
      </w:r>
      <w:r w:rsidR="00F55214" w:rsidRPr="007530E4">
        <w:t>g</w:t>
      </w:r>
      <w:r w:rsidR="000868C7" w:rsidRPr="007530E4">
        <w:t>overnment policies</w:t>
      </w:r>
      <w:r w:rsidR="00EB1E49" w:rsidRPr="007530E4">
        <w:t>/</w:t>
      </w:r>
      <w:r w:rsidR="000868C7" w:rsidRPr="007530E4">
        <w:t xml:space="preserve">strategies of particular relevance to the </w:t>
      </w:r>
      <w:r w:rsidR="00F55214" w:rsidRPr="007530E4">
        <w:t>agency</w:t>
      </w:r>
      <w:r w:rsidR="006D518A" w:rsidRPr="007530E4">
        <w:t>.</w:t>
      </w:r>
    </w:p>
    <w:p w:rsidR="001B0CE5" w:rsidRPr="007530E4" w:rsidRDefault="001B0CE5" w:rsidP="00AF0002">
      <w:pPr>
        <w:pStyle w:val="Heading1"/>
      </w:pPr>
      <w:r w:rsidRPr="007530E4">
        <w:t>Current status</w:t>
      </w:r>
    </w:p>
    <w:p w:rsidR="003978E7" w:rsidRPr="007530E4" w:rsidRDefault="002C348F" w:rsidP="0013573E">
      <w:r>
        <w:t>I</w:t>
      </w:r>
      <w:r w:rsidR="00CF5809" w:rsidRPr="007530E4">
        <w:t>nformation on the agency’s current financial, strategic</w:t>
      </w:r>
      <w:r>
        <w:t>,</w:t>
      </w:r>
      <w:r w:rsidR="00CF5809" w:rsidRPr="007530E4">
        <w:t xml:space="preserve"> and operational position</w:t>
      </w:r>
      <w:r w:rsidR="003978E7" w:rsidRPr="007530E4">
        <w:t xml:space="preserve"> </w:t>
      </w:r>
      <w:r w:rsidR="00B65106" w:rsidRPr="007530E4">
        <w:t xml:space="preserve">and on the key challenges and opportunities for the agency, </w:t>
      </w:r>
      <w:r w:rsidR="003978E7" w:rsidRPr="007530E4">
        <w:t>including</w:t>
      </w:r>
      <w:r w:rsidR="00540856" w:rsidRPr="007530E4">
        <w:t xml:space="preserve"> a copy of</w:t>
      </w:r>
      <w:r>
        <w:t xml:space="preserve"> the agency’s current</w:t>
      </w:r>
      <w:r w:rsidR="003978E7" w:rsidRPr="007530E4">
        <w:t>:</w:t>
      </w:r>
    </w:p>
    <w:p w:rsidR="00832EEE" w:rsidRPr="007530E4" w:rsidRDefault="00816084" w:rsidP="00816084">
      <w:pPr>
        <w:tabs>
          <w:tab w:val="left" w:pos="426"/>
        </w:tabs>
      </w:pPr>
      <w:r w:rsidRPr="00260D3E">
        <w:rPr>
          <w:color w:val="FFFFFF" w:themeColor="background1"/>
          <w:shd w:val="clear" w:color="auto" w:fill="31849B" w:themeFill="accent5" w:themeFillShade="BF"/>
        </w:rPr>
        <w:t>kit</w:t>
      </w:r>
      <w:r>
        <w:tab/>
      </w:r>
      <w:r w:rsidR="003978E7" w:rsidRPr="007530E4">
        <w:t>s</w:t>
      </w:r>
      <w:r w:rsidR="00832EEE" w:rsidRPr="007530E4">
        <w:t>trategic plan</w:t>
      </w:r>
    </w:p>
    <w:p w:rsidR="002C348F" w:rsidRDefault="00816084" w:rsidP="00816084">
      <w:pPr>
        <w:tabs>
          <w:tab w:val="left" w:pos="426"/>
        </w:tabs>
      </w:pPr>
      <w:r w:rsidRPr="00260D3E">
        <w:rPr>
          <w:color w:val="FFFFFF" w:themeColor="background1"/>
          <w:shd w:val="clear" w:color="auto" w:fill="31849B" w:themeFill="accent5" w:themeFillShade="BF"/>
        </w:rPr>
        <w:t>kit</w:t>
      </w:r>
      <w:r>
        <w:tab/>
      </w:r>
      <w:r w:rsidR="003978E7" w:rsidRPr="007530E4">
        <w:t>a</w:t>
      </w:r>
      <w:r w:rsidR="00832EEE" w:rsidRPr="007530E4">
        <w:t>nnual business plan</w:t>
      </w:r>
    </w:p>
    <w:p w:rsidR="00832EEE" w:rsidRPr="007530E4" w:rsidRDefault="00816084" w:rsidP="00816084">
      <w:pPr>
        <w:tabs>
          <w:tab w:val="left" w:pos="426"/>
        </w:tabs>
      </w:pPr>
      <w:r w:rsidRPr="00260D3E">
        <w:rPr>
          <w:color w:val="FFFFFF" w:themeColor="background1"/>
          <w:shd w:val="clear" w:color="auto" w:fill="31849B" w:themeFill="accent5" w:themeFillShade="BF"/>
        </w:rPr>
        <w:t>kit</w:t>
      </w:r>
      <w:r>
        <w:tab/>
      </w:r>
      <w:r w:rsidR="002C348F" w:rsidRPr="007530E4">
        <w:t>annual report</w:t>
      </w:r>
      <w:r w:rsidR="00832EEE" w:rsidRPr="007530E4">
        <w:t>.</w:t>
      </w:r>
    </w:p>
    <w:p w:rsidR="00127E9C" w:rsidRPr="007530E4" w:rsidRDefault="00127E9C" w:rsidP="00127E9C">
      <w:pPr>
        <w:pStyle w:val="Heading1"/>
      </w:pPr>
      <w:r w:rsidRPr="007530E4">
        <w:t>Governance framework</w:t>
      </w:r>
    </w:p>
    <w:p w:rsidR="00127E9C" w:rsidRPr="007530E4" w:rsidRDefault="00127E9C" w:rsidP="00190AA8">
      <w:pPr>
        <w:spacing w:after="160"/>
      </w:pPr>
      <w:r w:rsidRPr="007530E4">
        <w:t xml:space="preserve">Information on the agency’s governance framework </w:t>
      </w:r>
      <w:r w:rsidRPr="007530E4">
        <w:br/>
        <w:t>(the laws and other obligations that bind the agency), including a copy of:</w:t>
      </w:r>
    </w:p>
    <w:p w:rsidR="00127E9C" w:rsidRPr="007530E4" w:rsidRDefault="00816084" w:rsidP="00190AA8">
      <w:pPr>
        <w:tabs>
          <w:tab w:val="left" w:pos="426"/>
        </w:tabs>
        <w:spacing w:after="160"/>
      </w:pPr>
      <w:r w:rsidRPr="00260D3E">
        <w:rPr>
          <w:color w:val="FFFFFF" w:themeColor="background1"/>
          <w:shd w:val="clear" w:color="auto" w:fill="31849B" w:themeFill="accent5" w:themeFillShade="BF"/>
        </w:rPr>
        <w:t>kit</w:t>
      </w:r>
      <w:r>
        <w:tab/>
      </w:r>
      <w:r w:rsidR="00127E9C" w:rsidRPr="007530E4">
        <w:t>the establishing Act or terms of reference</w:t>
      </w:r>
    </w:p>
    <w:p w:rsidR="00127E9C" w:rsidRPr="007530E4" w:rsidRDefault="00816084" w:rsidP="00190AA8">
      <w:pPr>
        <w:tabs>
          <w:tab w:val="left" w:pos="426"/>
        </w:tabs>
        <w:spacing w:after="160"/>
        <w:ind w:left="426" w:hanging="426"/>
      </w:pPr>
      <w:r w:rsidRPr="00260D3E">
        <w:rPr>
          <w:color w:val="FFFFFF" w:themeColor="background1"/>
          <w:shd w:val="clear" w:color="auto" w:fill="31849B" w:themeFill="accent5" w:themeFillShade="BF"/>
        </w:rPr>
        <w:t>kit</w:t>
      </w:r>
      <w:r>
        <w:tab/>
      </w:r>
      <w:r w:rsidR="00127E9C" w:rsidRPr="007530E4">
        <w:t>any ministerial guidelines, directions, and statements of obligation and/or expectation.</w:t>
      </w:r>
    </w:p>
    <w:p w:rsidR="00127E9C" w:rsidRPr="007530E4" w:rsidRDefault="00127E9C" w:rsidP="00127E9C">
      <w:pPr>
        <w:spacing w:before="100" w:after="100"/>
      </w:pPr>
      <w:r w:rsidRPr="007530E4">
        <w:t>I</w:t>
      </w:r>
      <w:r w:rsidR="00E343E8">
        <w:t>t may be useful to also include</w:t>
      </w:r>
      <w:r w:rsidRPr="007530E4">
        <w:t>:</w:t>
      </w:r>
    </w:p>
    <w:p w:rsidR="00127E9C" w:rsidRPr="007530E4" w:rsidRDefault="00806CF4" w:rsidP="00127E9C">
      <w:pPr>
        <w:pStyle w:val="ListBullet"/>
        <w:spacing w:after="100"/>
      </w:pPr>
      <w:r>
        <w:t xml:space="preserve">a </w:t>
      </w:r>
      <w:r w:rsidR="00127E9C" w:rsidRPr="007530E4">
        <w:t xml:space="preserve">summary of the board's powers of delegation, if any (what functions can be delegated, to whom, how).  </w:t>
      </w:r>
    </w:p>
    <w:p w:rsidR="00127E9C" w:rsidRPr="007530E4" w:rsidRDefault="00127E9C" w:rsidP="00127E9C">
      <w:pPr>
        <w:pStyle w:val="ListBullet"/>
      </w:pPr>
      <w:r w:rsidRPr="007530E4">
        <w:t xml:space="preserve">information on key 'whole of government' laws </w:t>
      </w:r>
      <w:r w:rsidRPr="007530E4">
        <w:br/>
        <w:t>– e.g. freedom of information (leaflets, links, etc.).</w:t>
      </w:r>
    </w:p>
    <w:p w:rsidR="00245FE4" w:rsidRDefault="00245FE4">
      <w:pPr>
        <w:spacing w:after="0" w:line="240" w:lineRule="auto"/>
      </w:pPr>
    </w:p>
    <w:p w:rsidR="00806CF4" w:rsidRPr="00806CF4" w:rsidRDefault="00806CF4" w:rsidP="00806CF4">
      <w:pPr>
        <w:pBdr>
          <w:top w:val="single" w:sz="36" w:space="6" w:color="C6D9F1" w:themeColor="text2" w:themeTint="33"/>
          <w:left w:val="single" w:sz="36" w:space="5" w:color="C6D9F1" w:themeColor="text2" w:themeTint="33"/>
          <w:bottom w:val="single" w:sz="36" w:space="6" w:color="C6D9F1" w:themeColor="text2" w:themeTint="33"/>
          <w:right w:val="single" w:sz="36" w:space="5" w:color="C6D9F1" w:themeColor="text2" w:themeTint="33"/>
        </w:pBdr>
        <w:ind w:left="567" w:right="850"/>
        <w:rPr>
          <w:b/>
          <w:color w:val="215868" w:themeColor="accent5" w:themeShade="80"/>
          <w:sz w:val="24"/>
        </w:rPr>
      </w:pPr>
      <w:r w:rsidRPr="00806CF4">
        <w:rPr>
          <w:b/>
          <w:color w:val="215868" w:themeColor="accent5" w:themeShade="80"/>
          <w:sz w:val="24"/>
        </w:rPr>
        <w:t>Hint</w:t>
      </w:r>
      <w:r w:rsidR="00804043">
        <w:rPr>
          <w:b/>
          <w:color w:val="215868" w:themeColor="accent5" w:themeShade="80"/>
          <w:sz w:val="24"/>
        </w:rPr>
        <w:t xml:space="preserve"> - preparing an induction kit</w:t>
      </w:r>
    </w:p>
    <w:p w:rsidR="00806CF4" w:rsidRDefault="00804043" w:rsidP="00806CF4">
      <w:pPr>
        <w:pBdr>
          <w:top w:val="single" w:sz="36" w:space="6" w:color="C6D9F1" w:themeColor="text2" w:themeTint="33"/>
          <w:left w:val="single" w:sz="36" w:space="5" w:color="C6D9F1" w:themeColor="text2" w:themeTint="33"/>
          <w:bottom w:val="single" w:sz="36" w:space="6" w:color="C6D9F1" w:themeColor="text2" w:themeTint="33"/>
          <w:right w:val="single" w:sz="36" w:space="5" w:color="C6D9F1" w:themeColor="text2" w:themeTint="33"/>
        </w:pBdr>
        <w:ind w:left="567" w:right="850"/>
      </w:pPr>
      <w:r>
        <w:t xml:space="preserve">The </w:t>
      </w:r>
      <w:r w:rsidR="00245FE4" w:rsidRPr="007530E4">
        <w:t xml:space="preserve">DELWP guidance notes </w:t>
      </w:r>
      <w:r w:rsidR="00245FE4">
        <w:t>for inclusion in induction kits</w:t>
      </w:r>
      <w:r w:rsidR="00245FE4" w:rsidRPr="007530E4">
        <w:t xml:space="preserve"> are available from the </w:t>
      </w:r>
      <w:hyperlink r:id="rId14" w:history="1">
        <w:r w:rsidR="00245FE4" w:rsidRPr="007530E4">
          <w:rPr>
            <w:rStyle w:val="Hyperlink"/>
          </w:rPr>
          <w:t>Induction and</w:t>
        </w:r>
      </w:hyperlink>
      <w:r w:rsidR="00245FE4" w:rsidRPr="007530E4">
        <w:rPr>
          <w:rStyle w:val="Hyperlink"/>
        </w:rPr>
        <w:t xml:space="preserve"> education</w:t>
      </w:r>
      <w:r w:rsidR="00245FE4" w:rsidRPr="007530E4">
        <w:t xml:space="preserve"> support module</w:t>
      </w:r>
      <w:r w:rsidR="00245FE4" w:rsidRPr="007530E4" w:rsidDel="00606319">
        <w:t xml:space="preserve"> </w:t>
      </w:r>
      <w:r w:rsidR="00245FE4" w:rsidRPr="007530E4">
        <w:t>on DELWP’s governance website, On Board (</w:t>
      </w:r>
      <w:hyperlink r:id="rId15" w:history="1">
        <w:r w:rsidR="00806CF4" w:rsidRPr="00316AE9">
          <w:rPr>
            <w:rStyle w:val="Hyperlink"/>
          </w:rPr>
          <w:t>www.delwp.vic.gov.au/onboard</w:t>
        </w:r>
      </w:hyperlink>
      <w:r w:rsidR="00245FE4" w:rsidRPr="007530E4">
        <w:t>).</w:t>
      </w:r>
      <w:r w:rsidR="00806CF4">
        <w:t xml:space="preserve">  </w:t>
      </w:r>
    </w:p>
    <w:p w:rsidR="00245FE4" w:rsidRPr="007530E4" w:rsidRDefault="00804043" w:rsidP="00806CF4">
      <w:pPr>
        <w:pBdr>
          <w:top w:val="single" w:sz="36" w:space="6" w:color="C6D9F1" w:themeColor="text2" w:themeTint="33"/>
          <w:left w:val="single" w:sz="36" w:space="5" w:color="C6D9F1" w:themeColor="text2" w:themeTint="33"/>
          <w:bottom w:val="single" w:sz="36" w:space="6" w:color="C6D9F1" w:themeColor="text2" w:themeTint="33"/>
          <w:right w:val="single" w:sz="36" w:space="5" w:color="C6D9F1" w:themeColor="text2" w:themeTint="33"/>
        </w:pBdr>
        <w:ind w:left="567" w:right="850"/>
      </w:pPr>
      <w:r>
        <w:t>(</w:t>
      </w:r>
      <w:r w:rsidR="001732CC">
        <w:t>The</w:t>
      </w:r>
      <w:r w:rsidR="00806CF4">
        <w:t xml:space="preserve"> model policy on </w:t>
      </w:r>
      <w:r w:rsidR="00806CF4" w:rsidRPr="001732CC">
        <w:rPr>
          <w:i/>
        </w:rPr>
        <w:t>Induction and continuing education</w:t>
      </w:r>
      <w:r w:rsidR="00806CF4">
        <w:t xml:space="preserve"> is also available from On Board.</w:t>
      </w:r>
      <w:r>
        <w:t>)</w:t>
      </w:r>
    </w:p>
    <w:p w:rsidR="000868C7" w:rsidRPr="007530E4" w:rsidRDefault="00127E9C" w:rsidP="00806CF4">
      <w:pPr>
        <w:pStyle w:val="Heading1"/>
      </w:pPr>
      <w:r>
        <w:br w:type="page"/>
      </w:r>
      <w:r w:rsidR="000868C7" w:rsidRPr="007530E4">
        <w:lastRenderedPageBreak/>
        <w:t>Standards of conduct</w:t>
      </w:r>
    </w:p>
    <w:p w:rsidR="000309D3" w:rsidRPr="007530E4" w:rsidRDefault="0043650D" w:rsidP="006664AF">
      <w:pPr>
        <w:spacing w:after="240"/>
      </w:pPr>
      <w:r w:rsidRPr="007530E4">
        <w:t xml:space="preserve">Information on the standards of conduct required by the </w:t>
      </w:r>
      <w:r w:rsidRPr="007530E4">
        <w:rPr>
          <w:i/>
        </w:rPr>
        <w:t>Public Administration Act 2004,</w:t>
      </w:r>
      <w:r w:rsidRPr="007530E4">
        <w:t xml:space="preserve"> focusing on the ‘duties of directors’</w:t>
      </w:r>
      <w:r w:rsidR="00A60E0C">
        <w:t>, which are</w:t>
      </w:r>
      <w:r w:rsidRPr="007530E4">
        <w:t xml:space="preserve"> set out in s 79 of the Act and mirrored in the</w:t>
      </w:r>
      <w:r w:rsidR="0086079E">
        <w:t xml:space="preserve"> </w:t>
      </w:r>
      <w:hyperlink r:id="rId16" w:history="1">
        <w:r w:rsidR="0086079E" w:rsidRPr="0086079E">
          <w:rPr>
            <w:rStyle w:val="Hyperlink"/>
          </w:rPr>
          <w:t>Directors’ Code of Conduct</w:t>
        </w:r>
      </w:hyperlink>
      <w:r w:rsidRPr="007530E4">
        <w:t xml:space="preserve"> </w:t>
      </w:r>
      <w:r w:rsidR="002D6667">
        <w:t>issued by the Victorian Public Sector Commission</w:t>
      </w:r>
      <w:r w:rsidRPr="007530E4">
        <w:t xml:space="preserve">, </w:t>
      </w:r>
      <w:r w:rsidR="007240A2" w:rsidRPr="007530E4">
        <w:t>including</w:t>
      </w:r>
      <w:r w:rsidR="006664AF">
        <w:t xml:space="preserve"> a copy of</w:t>
      </w:r>
      <w:r w:rsidR="007240A2" w:rsidRPr="007530E4">
        <w:t>:</w:t>
      </w:r>
    </w:p>
    <w:p w:rsidR="007530E4" w:rsidRDefault="00960B62" w:rsidP="006664AF">
      <w:pPr>
        <w:tabs>
          <w:tab w:val="left" w:pos="426"/>
        </w:tabs>
        <w:spacing w:after="300"/>
        <w:ind w:left="425" w:hanging="425"/>
      </w:pPr>
      <w:r w:rsidRPr="00260D3E">
        <w:rPr>
          <w:color w:val="FFFFFF" w:themeColor="background1"/>
          <w:shd w:val="clear" w:color="auto" w:fill="31849B" w:themeFill="accent5" w:themeFillShade="BF"/>
        </w:rPr>
        <w:t>kit</w:t>
      </w:r>
      <w:r>
        <w:tab/>
      </w:r>
      <w:r w:rsidR="00F77549" w:rsidRPr="00960B62">
        <w:rPr>
          <w:b/>
        </w:rPr>
        <w:t>C</w:t>
      </w:r>
      <w:r w:rsidR="000309D3" w:rsidRPr="00960B62">
        <w:rPr>
          <w:b/>
        </w:rPr>
        <w:t>onflict of interest</w:t>
      </w:r>
      <w:r w:rsidR="007E38C3" w:rsidRPr="00960B62">
        <w:rPr>
          <w:b/>
        </w:rPr>
        <w:t xml:space="preserve"> - </w:t>
      </w:r>
      <w:r w:rsidR="001033DC" w:rsidRPr="00960B62">
        <w:rPr>
          <w:b/>
        </w:rPr>
        <w:t xml:space="preserve">an </w:t>
      </w:r>
      <w:r w:rsidR="007E38C3" w:rsidRPr="00960B62">
        <w:rPr>
          <w:b/>
        </w:rPr>
        <w:t>overview</w:t>
      </w:r>
      <w:r w:rsidR="007E38C3">
        <w:br/>
      </w:r>
      <w:r w:rsidR="007E38C3" w:rsidRPr="007E38C3">
        <w:t>(DELWP guidance note)</w:t>
      </w:r>
    </w:p>
    <w:p w:rsidR="008B5F80" w:rsidRDefault="008B5F80" w:rsidP="006664AF">
      <w:pPr>
        <w:tabs>
          <w:tab w:val="left" w:pos="426"/>
        </w:tabs>
        <w:spacing w:after="300"/>
        <w:ind w:left="425" w:hanging="425"/>
      </w:pPr>
      <w:r w:rsidRPr="00260D3E">
        <w:rPr>
          <w:color w:val="FFFFFF" w:themeColor="background1"/>
          <w:shd w:val="clear" w:color="auto" w:fill="31849B" w:themeFill="accent5" w:themeFillShade="BF"/>
        </w:rPr>
        <w:t>kit</w:t>
      </w:r>
      <w:r>
        <w:tab/>
      </w:r>
      <w:r>
        <w:rPr>
          <w:b/>
        </w:rPr>
        <w:t>Gifts benefits and hospitality - responding to gift offers</w:t>
      </w:r>
      <w:r w:rsidRPr="00960B62">
        <w:rPr>
          <w:b/>
        </w:rPr>
        <w:t xml:space="preserve"> - an overview</w:t>
      </w:r>
      <w:r>
        <w:br/>
      </w:r>
      <w:r w:rsidRPr="007E38C3">
        <w:t>(DELWP guidance note</w:t>
      </w:r>
      <w:r w:rsidR="008E0D51">
        <w:t xml:space="preserve"> with summary chart</w:t>
      </w:r>
      <w:r w:rsidRPr="007E38C3">
        <w:t>)</w:t>
      </w:r>
    </w:p>
    <w:p w:rsidR="00F77549" w:rsidRDefault="00960B62" w:rsidP="006664AF">
      <w:pPr>
        <w:tabs>
          <w:tab w:val="left" w:pos="426"/>
        </w:tabs>
        <w:spacing w:after="300"/>
        <w:ind w:left="425" w:hanging="425"/>
      </w:pPr>
      <w:r w:rsidRPr="00260D3E">
        <w:rPr>
          <w:color w:val="FFFFFF" w:themeColor="background1"/>
          <w:shd w:val="clear" w:color="auto" w:fill="31849B" w:themeFill="accent5" w:themeFillShade="BF"/>
        </w:rPr>
        <w:t>kit</w:t>
      </w:r>
      <w:r>
        <w:tab/>
      </w:r>
      <w:r w:rsidR="00F77549" w:rsidRPr="00960B62">
        <w:rPr>
          <w:b/>
        </w:rPr>
        <w:t>Meetings and decisions</w:t>
      </w:r>
      <w:r w:rsidR="007E38C3" w:rsidRPr="00960B62">
        <w:rPr>
          <w:b/>
        </w:rPr>
        <w:t xml:space="preserve"> - </w:t>
      </w:r>
      <w:r w:rsidR="001033DC" w:rsidRPr="00960B62">
        <w:rPr>
          <w:b/>
        </w:rPr>
        <w:t xml:space="preserve">an </w:t>
      </w:r>
      <w:r w:rsidR="007E38C3" w:rsidRPr="00960B62">
        <w:rPr>
          <w:b/>
        </w:rPr>
        <w:t>overview</w:t>
      </w:r>
      <w:r w:rsidR="007E38C3">
        <w:br/>
      </w:r>
      <w:r w:rsidR="007E38C3" w:rsidRPr="007E38C3">
        <w:t>(DELWP guidance note)</w:t>
      </w:r>
    </w:p>
    <w:p w:rsidR="008E0D51" w:rsidRPr="007530E4" w:rsidRDefault="008E0D51" w:rsidP="008E0D51">
      <w:pPr>
        <w:tabs>
          <w:tab w:val="left" w:pos="426"/>
        </w:tabs>
        <w:spacing w:after="300"/>
        <w:ind w:left="425" w:hanging="425"/>
      </w:pPr>
      <w:r w:rsidRPr="00260D3E">
        <w:rPr>
          <w:color w:val="FFFFFF" w:themeColor="background1"/>
          <w:shd w:val="clear" w:color="auto" w:fill="31849B" w:themeFill="accent5" w:themeFillShade="BF"/>
        </w:rPr>
        <w:t>kit</w:t>
      </w:r>
      <w:r>
        <w:tab/>
      </w:r>
      <w:r>
        <w:rPr>
          <w:b/>
        </w:rPr>
        <w:t>Code of conduct – an overview</w:t>
      </w:r>
      <w:r>
        <w:br/>
      </w:r>
      <w:r w:rsidRPr="007E38C3">
        <w:t xml:space="preserve">(DELWP </w:t>
      </w:r>
      <w:r>
        <w:t>guidance note</w:t>
      </w:r>
      <w:r w:rsidRPr="007E38C3">
        <w:t>)</w:t>
      </w:r>
    </w:p>
    <w:p w:rsidR="0086079E" w:rsidRPr="0086079E" w:rsidRDefault="00F67ECF" w:rsidP="0086079E">
      <w:pPr>
        <w:tabs>
          <w:tab w:val="left" w:pos="426"/>
        </w:tabs>
        <w:spacing w:after="300"/>
      </w:pPr>
      <w:r w:rsidRPr="00260D3E">
        <w:rPr>
          <w:color w:val="FFFFFF" w:themeColor="background1"/>
          <w:shd w:val="clear" w:color="auto" w:fill="31849B" w:themeFill="accent5" w:themeFillShade="BF"/>
        </w:rPr>
        <w:t>kit</w:t>
      </w:r>
      <w:r>
        <w:tab/>
      </w:r>
      <w:hyperlink r:id="rId17" w:history="1">
        <w:r w:rsidR="006669C3" w:rsidRPr="0086079E">
          <w:rPr>
            <w:rStyle w:val="Hyperlink"/>
          </w:rPr>
          <w:t>Directors’ Code of Conduct</w:t>
        </w:r>
      </w:hyperlink>
      <w:r w:rsidR="006669C3">
        <w:t xml:space="preserve"> </w:t>
      </w:r>
    </w:p>
    <w:p w:rsidR="000309D3" w:rsidRPr="007530E4" w:rsidRDefault="000309D3" w:rsidP="00F67ECF">
      <w:pPr>
        <w:spacing w:before="240" w:after="100"/>
      </w:pPr>
      <w:r w:rsidRPr="007530E4">
        <w:t xml:space="preserve">It may be useful to </w:t>
      </w:r>
      <w:r w:rsidR="00924880">
        <w:t xml:space="preserve">also </w:t>
      </w:r>
      <w:r w:rsidRPr="007530E4">
        <w:t xml:space="preserve">provide: </w:t>
      </w:r>
    </w:p>
    <w:p w:rsidR="00675F9B" w:rsidRPr="007530E4" w:rsidRDefault="00675F9B" w:rsidP="00675F9B">
      <w:pPr>
        <w:pStyle w:val="ListBullet"/>
      </w:pPr>
      <w:r w:rsidRPr="007530E4">
        <w:t>relevant sections of the</w:t>
      </w:r>
      <w:r w:rsidRPr="007530E4">
        <w:rPr>
          <w:i/>
        </w:rPr>
        <w:t xml:space="preserve"> </w:t>
      </w:r>
      <w:r w:rsidRPr="00924880">
        <w:t>Public Administration Act</w:t>
      </w:r>
      <w:r>
        <w:t xml:space="preserve"> </w:t>
      </w:r>
      <w:r>
        <w:br/>
        <w:t>e.g.</w:t>
      </w:r>
      <w:r w:rsidRPr="007530E4">
        <w:t xml:space="preserve"> s 7 (public sector values), s 8 (public sector employment principles</w:t>
      </w:r>
      <w:r>
        <w:t>)</w:t>
      </w:r>
      <w:r w:rsidRPr="007530E4">
        <w:t xml:space="preserve">, s 13A (oversight and support) and, if applicable, s 79 to </w:t>
      </w:r>
      <w:r>
        <w:t xml:space="preserve">s </w:t>
      </w:r>
      <w:r w:rsidRPr="007530E4">
        <w:t xml:space="preserve">85. </w:t>
      </w:r>
    </w:p>
    <w:p w:rsidR="00675F9B" w:rsidRPr="007530E4" w:rsidRDefault="00675F9B" w:rsidP="00675F9B">
      <w:pPr>
        <w:pStyle w:val="ListBullet"/>
        <w:spacing w:after="140"/>
      </w:pPr>
      <w:r>
        <w:t>supplementary information on</w:t>
      </w:r>
      <w:r w:rsidRPr="007530E4">
        <w:t xml:space="preserve"> the requirements for confidentiality (current and former board members) and </w:t>
      </w:r>
      <w:r>
        <w:t xml:space="preserve">the </w:t>
      </w:r>
      <w:r w:rsidRPr="007530E4">
        <w:t>proper use of information (no gain to self or others; no detriment to the agency).</w:t>
      </w:r>
    </w:p>
    <w:p w:rsidR="000868C7" w:rsidRPr="007530E4" w:rsidRDefault="001B0CE5">
      <w:pPr>
        <w:pStyle w:val="ListBullet"/>
      </w:pPr>
      <w:r w:rsidRPr="007530E4">
        <w:t xml:space="preserve">information </w:t>
      </w:r>
      <w:r w:rsidR="000868C7" w:rsidRPr="007530E4">
        <w:t>on the role of the Victorian Ombudsman and the Victorian Auditor-General’s Office (VAGO)</w:t>
      </w:r>
      <w:r w:rsidR="001712BA" w:rsidRPr="007530E4">
        <w:t>.</w:t>
      </w:r>
    </w:p>
    <w:p w:rsidR="001712BA" w:rsidRPr="007530E4" w:rsidRDefault="00675F9B" w:rsidP="00127E9C">
      <w:pPr>
        <w:pStyle w:val="Heading1"/>
      </w:pPr>
      <w:r>
        <w:br w:type="column"/>
      </w:r>
      <w:r w:rsidR="00407907" w:rsidRPr="007530E4">
        <w:lastRenderedPageBreak/>
        <w:t>Board policies</w:t>
      </w:r>
    </w:p>
    <w:p w:rsidR="00F67ECF" w:rsidRDefault="00A11CC9" w:rsidP="001B16D0">
      <w:r w:rsidRPr="007530E4">
        <w:t xml:space="preserve">Information on the need </w:t>
      </w:r>
      <w:r w:rsidR="00127E9C">
        <w:t>for</w:t>
      </w:r>
      <w:r w:rsidRPr="007530E4">
        <w:t xml:space="preserve"> suitable board policies</w:t>
      </w:r>
      <w:r w:rsidR="00127E9C">
        <w:t xml:space="preserve"> to be</w:t>
      </w:r>
      <w:r w:rsidR="001B16D0">
        <w:t xml:space="preserve"> in place that</w:t>
      </w:r>
      <w:r w:rsidR="00127E9C">
        <w:t xml:space="preserve"> are </w:t>
      </w:r>
      <w:r w:rsidRPr="007530E4">
        <w:t>consist</w:t>
      </w:r>
      <w:r w:rsidR="001B16D0">
        <w:t>ent with DELWP’s model policies.</w:t>
      </w:r>
      <w:r w:rsidR="00395339">
        <w:t xml:space="preserve">  </w:t>
      </w:r>
    </w:p>
    <w:p w:rsidR="00A11CC9" w:rsidRPr="007530E4" w:rsidRDefault="00F67ECF" w:rsidP="00F67ECF">
      <w:pPr>
        <w:tabs>
          <w:tab w:val="left" w:pos="426"/>
        </w:tabs>
      </w:pPr>
      <w:r w:rsidRPr="00260D3E">
        <w:rPr>
          <w:color w:val="FFFFFF" w:themeColor="background1"/>
          <w:shd w:val="clear" w:color="auto" w:fill="31849B" w:themeFill="accent5" w:themeFillShade="BF"/>
        </w:rPr>
        <w:t>kit</w:t>
      </w:r>
      <w:r>
        <w:tab/>
      </w:r>
      <w:r w:rsidR="00395339">
        <w:t xml:space="preserve">Copies of all </w:t>
      </w:r>
      <w:r w:rsidR="00F1378C">
        <w:t xml:space="preserve">of the </w:t>
      </w:r>
      <w:r w:rsidR="00395339">
        <w:t>board</w:t>
      </w:r>
      <w:r w:rsidR="00F1378C">
        <w:t>’s</w:t>
      </w:r>
      <w:r w:rsidR="00395339">
        <w:t xml:space="preserve"> policies, including:</w:t>
      </w:r>
    </w:p>
    <w:p w:rsidR="007B2FD9" w:rsidRPr="007530E4" w:rsidRDefault="007B2FD9" w:rsidP="00F67ECF">
      <w:pPr>
        <w:pStyle w:val="ListBullet2"/>
        <w:ind w:left="851" w:hanging="341"/>
      </w:pPr>
      <w:r w:rsidRPr="007530E4">
        <w:t>Code of conduct</w:t>
      </w:r>
    </w:p>
    <w:p w:rsidR="007B2FD9" w:rsidRPr="007530E4" w:rsidRDefault="007B2FD9" w:rsidP="00F67ECF">
      <w:pPr>
        <w:pStyle w:val="ListBullet2"/>
        <w:ind w:left="851" w:hanging="341"/>
      </w:pPr>
      <w:r w:rsidRPr="007530E4">
        <w:t>Conflict of interest</w:t>
      </w:r>
    </w:p>
    <w:p w:rsidR="000F0790" w:rsidRPr="007530E4" w:rsidRDefault="000F0790" w:rsidP="00F67ECF">
      <w:pPr>
        <w:pStyle w:val="ListBullet2"/>
        <w:ind w:left="851" w:hanging="341"/>
      </w:pPr>
      <w:r w:rsidRPr="007530E4">
        <w:t>Dispute resolution</w:t>
      </w:r>
    </w:p>
    <w:p w:rsidR="007B2FD9" w:rsidRPr="007530E4" w:rsidRDefault="007B2FD9" w:rsidP="00F67ECF">
      <w:pPr>
        <w:pStyle w:val="ListBullet2"/>
        <w:ind w:left="851" w:hanging="341"/>
      </w:pPr>
      <w:r w:rsidRPr="007530E4">
        <w:t>Gifts, benefits and hospitality</w:t>
      </w:r>
    </w:p>
    <w:p w:rsidR="000F0790" w:rsidRPr="007530E4" w:rsidRDefault="000F0790" w:rsidP="00F67ECF">
      <w:pPr>
        <w:pStyle w:val="ListBullet2"/>
        <w:ind w:left="851" w:hanging="341"/>
      </w:pPr>
      <w:r w:rsidRPr="007530E4">
        <w:t>Induction and education</w:t>
      </w:r>
    </w:p>
    <w:p w:rsidR="000F0790" w:rsidRPr="007530E4" w:rsidRDefault="000F0790" w:rsidP="00F67ECF">
      <w:pPr>
        <w:pStyle w:val="ListBullet2"/>
        <w:ind w:left="851" w:hanging="341"/>
      </w:pPr>
      <w:r w:rsidRPr="007530E4">
        <w:t>Meetings and decisions</w:t>
      </w:r>
    </w:p>
    <w:p w:rsidR="00905F97" w:rsidRPr="007530E4" w:rsidRDefault="007B2FD9" w:rsidP="00F67ECF">
      <w:pPr>
        <w:pStyle w:val="ListBullet2"/>
        <w:ind w:left="851" w:hanging="341"/>
      </w:pPr>
      <w:r w:rsidRPr="007530E4">
        <w:t>Performance assessment</w:t>
      </w:r>
      <w:r w:rsidR="00FC63B6" w:rsidRPr="007530E4">
        <w:t>.</w:t>
      </w:r>
    </w:p>
    <w:p w:rsidR="00631942" w:rsidRPr="007530E4" w:rsidRDefault="00270C1E" w:rsidP="001033DC">
      <w:pPr>
        <w:pStyle w:val="Heading1"/>
        <w:spacing w:before="0" w:after="80"/>
      </w:pPr>
      <w:r w:rsidRPr="007530E4">
        <w:br w:type="column"/>
      </w:r>
      <w:r w:rsidR="002D612C" w:rsidRPr="007530E4">
        <w:lastRenderedPageBreak/>
        <w:t xml:space="preserve">Further </w:t>
      </w:r>
      <w:r w:rsidR="009A2AAB" w:rsidRPr="007530E4">
        <w:t>information</w:t>
      </w:r>
    </w:p>
    <w:p w:rsidR="0035198A" w:rsidRDefault="0035198A" w:rsidP="0035198A">
      <w:pPr>
        <w:pStyle w:val="Heading2"/>
      </w:pPr>
      <w:r>
        <w:t>On Board</w:t>
      </w:r>
    </w:p>
    <w:p w:rsidR="00DB0FFE" w:rsidRDefault="00496FAE" w:rsidP="00496FAE">
      <w:r w:rsidRPr="007530E4">
        <w:t xml:space="preserve">This guidance note is available from the </w:t>
      </w:r>
      <w:hyperlink r:id="rId18" w:history="1">
        <w:r w:rsidRPr="007530E4">
          <w:rPr>
            <w:rStyle w:val="Hyperlink"/>
          </w:rPr>
          <w:t>Induction and education</w:t>
        </w:r>
      </w:hyperlink>
      <w:r w:rsidR="001033DC">
        <w:t xml:space="preserve"> support module on </w:t>
      </w:r>
      <w:r w:rsidR="008204D1">
        <w:t xml:space="preserve">DELWP’s governance website, </w:t>
      </w:r>
      <w:r w:rsidR="001033DC">
        <w:t xml:space="preserve">On Board </w:t>
      </w:r>
      <w:r w:rsidR="001033DC" w:rsidRPr="007530E4">
        <w:rPr>
          <w:rStyle w:val="Emphasis-Bold"/>
          <w:rFonts w:eastAsiaTheme="majorEastAsia"/>
          <w:b w:val="0"/>
        </w:rPr>
        <w:t>(</w:t>
      </w:r>
      <w:hyperlink r:id="rId19" w:history="1">
        <w:r w:rsidR="001033DC" w:rsidRPr="007530E4">
          <w:rPr>
            <w:rStyle w:val="Hyperlink"/>
            <w:rFonts w:eastAsiaTheme="majorEastAsia"/>
          </w:rPr>
          <w:t>www.delwp.vic.gov.au/onboard</w:t>
        </w:r>
      </w:hyperlink>
      <w:r w:rsidR="001033DC" w:rsidRPr="007530E4">
        <w:rPr>
          <w:rStyle w:val="Emphasis-Bold"/>
          <w:rFonts w:eastAsiaTheme="majorEastAsia"/>
          <w:b w:val="0"/>
        </w:rPr>
        <w:t>).</w:t>
      </w:r>
      <w:r w:rsidR="0035198A">
        <w:t xml:space="preserve"> </w:t>
      </w:r>
    </w:p>
    <w:p w:rsidR="00496FAE" w:rsidRPr="007530E4" w:rsidRDefault="00496FAE" w:rsidP="00496FAE">
      <w:r w:rsidRPr="007530E4">
        <w:t>Guidance on other key governance topics is also available from On Board</w:t>
      </w:r>
      <w:r w:rsidR="001033DC">
        <w:t>.</w:t>
      </w:r>
      <w:r w:rsidRPr="007530E4">
        <w:rPr>
          <w:rStyle w:val="Emphasis-Bold"/>
          <w:rFonts w:eastAsiaTheme="majorEastAsia"/>
          <w:b w:val="0"/>
        </w:rPr>
        <w:t xml:space="preserve"> </w:t>
      </w:r>
    </w:p>
    <w:p w:rsidR="0035198A" w:rsidRDefault="0035198A" w:rsidP="0035198A">
      <w:pPr>
        <w:pStyle w:val="Heading2"/>
      </w:pPr>
      <w:r>
        <w:t>DELWP relationship managers and teams</w:t>
      </w:r>
    </w:p>
    <w:p w:rsidR="00FC63B6" w:rsidRPr="007530E4" w:rsidRDefault="00FC63B6" w:rsidP="0035198A">
      <w:r w:rsidRPr="007530E4">
        <w:t xml:space="preserve">DELWP offers support to its agencies through DELWP divisions and regional offices.  Please contact your agency’s usual DELWP relationship manager or team or phone the Customer Service Centre on 136 186. </w:t>
      </w:r>
    </w:p>
    <w:p w:rsidR="00FC63B6" w:rsidRPr="007530E4" w:rsidRDefault="00FC63B6" w:rsidP="0035198A">
      <w:pPr>
        <w:pStyle w:val="Heading2"/>
      </w:pPr>
      <w:r w:rsidRPr="007530E4">
        <w:t>DELWP governance e-alerts</w:t>
      </w:r>
    </w:p>
    <w:p w:rsidR="007165C6" w:rsidRPr="007530E4" w:rsidRDefault="00FC63B6" w:rsidP="0013573E">
      <w:pPr>
        <w:spacing w:after="0"/>
      </w:pPr>
      <w:r w:rsidRPr="007530E4">
        <w:t xml:space="preserve">It is recommended that board members </w:t>
      </w:r>
      <w:hyperlink r:id="rId20" w:history="1">
        <w:r w:rsidRPr="007530E4">
          <w:rPr>
            <w:rStyle w:val="Hyperlink"/>
            <w:szCs w:val="19"/>
            <w:lang w:eastAsia="ja-JP"/>
          </w:rPr>
          <w:t>subscribe</w:t>
        </w:r>
      </w:hyperlink>
      <w:r w:rsidRPr="007530E4">
        <w:rPr>
          <w:rStyle w:val="Hyperlink"/>
          <w:szCs w:val="19"/>
          <w:lang w:eastAsia="ja-JP"/>
        </w:rPr>
        <w:t xml:space="preserve"> </w:t>
      </w:r>
      <w:r w:rsidRPr="007530E4">
        <w:t>to DELWP governance e-alerts</w:t>
      </w:r>
      <w:r w:rsidR="00946E43" w:rsidRPr="007530E4">
        <w:t>,</w:t>
      </w:r>
      <w:r w:rsidRPr="007530E4">
        <w:t xml:space="preserve"> which provide governance news and information (e.g. new laws, best practice</w:t>
      </w:r>
      <w:r w:rsidR="007165C6" w:rsidRPr="007530E4">
        <w:t>, major updates to On Board, etc.</w:t>
      </w:r>
      <w:r w:rsidRPr="007530E4">
        <w:t xml:space="preserve">). </w:t>
      </w:r>
    </w:p>
    <w:p w:rsidR="00FA3F1D" w:rsidRPr="007530E4" w:rsidRDefault="00FA3F1D" w:rsidP="0013573E">
      <w:pPr>
        <w:spacing w:after="0"/>
      </w:pPr>
    </w:p>
    <w:p w:rsidR="00FA3F1D" w:rsidRPr="007530E4" w:rsidRDefault="00FA3F1D" w:rsidP="0013573E">
      <w:pPr>
        <w:spacing w:after="0"/>
      </w:pPr>
    </w:p>
    <w:p w:rsidR="00FA3F1D" w:rsidRPr="007530E4" w:rsidRDefault="00FA3F1D" w:rsidP="0013573E">
      <w:pPr>
        <w:spacing w:after="0"/>
      </w:pPr>
    </w:p>
    <w:p w:rsidR="00AA13BD" w:rsidRPr="00FC4E61" w:rsidRDefault="00FC63B6" w:rsidP="0013573E">
      <w:pPr>
        <w:rPr>
          <w:rFonts w:eastAsia="Calibri"/>
        </w:rPr>
      </w:pPr>
      <w:r w:rsidRPr="007530E4">
        <w:rPr>
          <w:noProof/>
          <w:lang w:eastAsia="en-AU"/>
        </w:rPr>
        <mc:AlternateContent>
          <mc:Choice Requires="wpc">
            <w:drawing>
              <wp:anchor distT="0" distB="0" distL="114300" distR="114300" simplePos="0" relativeHeight="251663872" behindDoc="0" locked="1" layoutInCell="1" allowOverlap="1" wp14:anchorId="56E7039D" wp14:editId="7782929F">
                <wp:simplePos x="0" y="0"/>
                <wp:positionH relativeFrom="page">
                  <wp:posOffset>340995</wp:posOffset>
                </wp:positionH>
                <wp:positionV relativeFrom="page">
                  <wp:posOffset>8282940</wp:posOffset>
                </wp:positionV>
                <wp:extent cx="6949440" cy="2455545"/>
                <wp:effectExtent l="0" t="0" r="0" b="0"/>
                <wp:wrapTopAndBottom/>
                <wp:docPr id="1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B6" w:rsidRDefault="00FC63B6" w:rsidP="00FC63B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C63B6" w:rsidRPr="00DC7D61" w:rsidRDefault="00FC63B6" w:rsidP="00FC63B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B6" w:rsidRPr="0022751F" w:rsidRDefault="00FC63B6" w:rsidP="00FC63B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4" w:history="1">
                                <w:r w:rsidRPr="0022751F">
                                  <w:rPr>
                                    <w:rStyle w:val="Hyperlink"/>
                                    <w:rFonts w:asciiTheme="minorHAnsi" w:hAnsiTheme="minorHAnsi"/>
                                    <w:sz w:val="15"/>
                                    <w:szCs w:val="15"/>
                                  </w:rPr>
                                  <w:t>www.delwp.vic.gov.au/onboard</w:t>
                                </w:r>
                              </w:hyperlink>
                            </w:p>
                            <w:p w:rsidR="00FC63B6" w:rsidRPr="0022751F" w:rsidRDefault="00FC63B6" w:rsidP="00FC63B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FC63B6" w:rsidRPr="0022751F" w:rsidRDefault="00CC4C65" w:rsidP="00FC63B6">
                              <w:pPr>
                                <w:widowControl w:val="0"/>
                                <w:spacing w:after="100" w:line="200" w:lineRule="atLeast"/>
                                <w:rPr>
                                  <w:rFonts w:asciiTheme="minorHAnsi" w:hAnsiTheme="minorHAnsi"/>
                                  <w:sz w:val="15"/>
                                  <w:szCs w:val="15"/>
                                </w:rPr>
                              </w:pPr>
                              <w:r>
                                <w:rPr>
                                  <w:rFonts w:asciiTheme="minorHAnsi" w:hAnsiTheme="minorHAnsi"/>
                                  <w:sz w:val="15"/>
                                  <w:szCs w:val="15"/>
                                </w:rPr>
                                <w:t>1</w:t>
                              </w:r>
                              <w:r w:rsidR="000300BF">
                                <w:rPr>
                                  <w:rFonts w:asciiTheme="minorHAnsi" w:hAnsiTheme="minorHAnsi"/>
                                  <w:sz w:val="15"/>
                                  <w:szCs w:val="15"/>
                                </w:rPr>
                                <w:t>2</w:t>
                              </w:r>
                              <w:bookmarkStart w:id="0" w:name="_GoBack"/>
                              <w:bookmarkEnd w:id="0"/>
                              <w:r w:rsidR="008C1E1B">
                                <w:rPr>
                                  <w:rFonts w:asciiTheme="minorHAnsi" w:hAnsiTheme="minorHAnsi"/>
                                  <w:sz w:val="15"/>
                                  <w:szCs w:val="15"/>
                                </w:rPr>
                                <w:t xml:space="preserve"> December</w:t>
                              </w:r>
                              <w:r w:rsidR="00AB27F2">
                                <w:rPr>
                                  <w:rFonts w:asciiTheme="minorHAnsi" w:hAnsiTheme="minorHAnsi"/>
                                  <w:sz w:val="15"/>
                                  <w:szCs w:val="15"/>
                                </w:rPr>
                                <w:t xml:space="preserve"> 2016</w:t>
                              </w:r>
                              <w:r w:rsidR="00FC63B6" w:rsidRPr="0022751F">
                                <w:rPr>
                                  <w:rFonts w:asciiTheme="minorHAnsi" w:hAnsiTheme="minorHAnsi"/>
                                  <w:sz w:val="15"/>
                                  <w:szCs w:val="15"/>
                                </w:rPr>
                                <w:t xml:space="preserve"> (</w:t>
                              </w:r>
                              <w:r w:rsidR="001D1906">
                                <w:rPr>
                                  <w:rStyle w:val="Emphasis-Bold"/>
                                  <w:rFonts w:asciiTheme="minorHAnsi" w:hAnsiTheme="minorHAnsi"/>
                                  <w:sz w:val="15"/>
                                  <w:szCs w:val="15"/>
                                </w:rPr>
                                <w:t xml:space="preserve">version </w:t>
                              </w:r>
                              <w:r w:rsidR="007F3C39">
                                <w:rPr>
                                  <w:rStyle w:val="Emphasis-Bold"/>
                                  <w:rFonts w:asciiTheme="minorHAnsi" w:hAnsiTheme="minorHAnsi"/>
                                  <w:sz w:val="15"/>
                                  <w:szCs w:val="15"/>
                                </w:rPr>
                                <w:t>3.0</w:t>
                              </w:r>
                              <w:r w:rsidR="00767181">
                                <w:rPr>
                                  <w:rStyle w:val="Emphasis-Bold"/>
                                  <w:rFonts w:asciiTheme="minorHAnsi" w:hAnsiTheme="minorHAnsi"/>
                                  <w:sz w:val="15"/>
                                  <w:szCs w:val="15"/>
                                </w:rPr>
                                <w:t>2</w:t>
                              </w:r>
                              <w:r w:rsidR="00FC63B6" w:rsidRPr="0022751F">
                                <w:rPr>
                                  <w:rFonts w:asciiTheme="minorHAnsi" w:hAnsiTheme="minorHAnsi"/>
                                  <w:sz w:val="15"/>
                                  <w:szCs w:val="15"/>
                                </w:rPr>
                                <w:t xml:space="preserve">) </w:t>
                              </w:r>
                              <w:r w:rsidR="00416A37">
                                <w:rPr>
                                  <w:rFonts w:asciiTheme="minorHAnsi" w:hAnsiTheme="minorHAnsi"/>
                                  <w:sz w:val="15"/>
                                  <w:szCs w:val="15"/>
                                </w:rPr>
                                <w:t xml:space="preserve">– </w:t>
                              </w:r>
                              <w:r w:rsidR="00AF2191" w:rsidRPr="00806F4F">
                                <w:rPr>
                                  <w:rFonts w:asciiTheme="minorHAnsi" w:hAnsiTheme="minorHAnsi"/>
                                  <w:sz w:val="15"/>
                                  <w:szCs w:val="15"/>
                                </w:rPr>
                                <w:t>5</w:t>
                              </w:r>
                              <w:r w:rsidR="00D867B6">
                                <w:rPr>
                                  <w:rFonts w:asciiTheme="minorHAnsi" w:hAnsiTheme="minorHAnsi"/>
                                  <w:sz w:val="15"/>
                                  <w:szCs w:val="15"/>
                                </w:rPr>
                                <w:t>.1</w:t>
                              </w:r>
                              <w:r w:rsidR="000300BF">
                                <w:rPr>
                                  <w:rFonts w:asciiTheme="minorHAnsi" w:hAnsiTheme="minorHAnsi"/>
                                  <w:sz w:val="15"/>
                                  <w:szCs w:val="15"/>
                                </w:rPr>
                                <w:t>8</w:t>
                              </w:r>
                              <w:r w:rsidR="00AF2191" w:rsidRPr="00806F4F">
                                <w:rPr>
                                  <w:rFonts w:asciiTheme="minorHAnsi" w:hAnsiTheme="minorHAnsi"/>
                                  <w:sz w:val="15"/>
                                  <w:szCs w:val="15"/>
                                </w:rPr>
                                <w:t xml:space="preserve"> </w:t>
                              </w:r>
                            </w:p>
                            <w:p w:rsidR="00FC63B6" w:rsidRDefault="00FC63B6" w:rsidP="00FC63B6">
                              <w:pPr>
                                <w:pStyle w:val="ImprintText"/>
                                <w:rPr>
                                  <w:sz w:val="15"/>
                                  <w:szCs w:val="15"/>
                                </w:rPr>
                              </w:pPr>
                              <w:r>
                                <w:rPr>
                                  <w:sz w:val="15"/>
                                  <w:szCs w:val="15"/>
                                </w:rPr>
                                <w:t xml:space="preserve">© </w:t>
                              </w:r>
                              <w:r w:rsidRPr="0022751F">
                                <w:rPr>
                                  <w:sz w:val="15"/>
                                  <w:szCs w:val="15"/>
                                </w:rPr>
                                <w:t>State of Victoria Department of Environmen</w:t>
                              </w:r>
                              <w:r w:rsidR="00AB27F2">
                                <w:rPr>
                                  <w:sz w:val="15"/>
                                  <w:szCs w:val="15"/>
                                </w:rPr>
                                <w:t>t, Land, Water and Planning 2016</w:t>
                              </w:r>
                            </w:p>
                            <w:p w:rsidR="00FC63B6" w:rsidRPr="0022751F" w:rsidRDefault="00FC63B6" w:rsidP="00FC63B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FC63B6" w:rsidRPr="002072AB" w:rsidRDefault="00FC63B6" w:rsidP="00FC63B6">
                              <w:pPr>
                                <w:pStyle w:val="Disclaimer"/>
                                <w:rPr>
                                  <w:rFonts w:asciiTheme="minorHAnsi" w:hAnsiTheme="minorHAnsi"/>
                                  <w:szCs w:val="15"/>
                                </w:rPr>
                              </w:pPr>
                              <w:r w:rsidRPr="002072AB">
                                <w:rPr>
                                  <w:noProof/>
                                  <w:szCs w:val="15"/>
                                </w:rPr>
                                <w:drawing>
                                  <wp:inline distT="0" distB="0" distL="0" distR="0" wp14:anchorId="6934CDC7" wp14:editId="29C73F5C">
                                    <wp:extent cx="297418" cy="104094"/>
                                    <wp:effectExtent l="0" t="0" r="7620" b="0"/>
                                    <wp:docPr id="15" name="Picture 1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10"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1" name="Text Box 11"/>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3B6" w:rsidRPr="00BA342A" w:rsidRDefault="00FC63B6" w:rsidP="00FC63B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MjW6C7EEAAAN&#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C63B6" w:rsidRDefault="00FC63B6" w:rsidP="00FC63B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C63B6" w:rsidRPr="00DC7D61" w:rsidRDefault="00FC63B6" w:rsidP="00FC63B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7"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8"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9"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C63B6" w:rsidRPr="0022751F" w:rsidRDefault="00FC63B6" w:rsidP="00FC63B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30" w:history="1">
                          <w:r w:rsidRPr="0022751F">
                            <w:rPr>
                              <w:rStyle w:val="Hyperlink"/>
                              <w:rFonts w:asciiTheme="minorHAnsi" w:hAnsiTheme="minorHAnsi"/>
                              <w:sz w:val="15"/>
                              <w:szCs w:val="15"/>
                            </w:rPr>
                            <w:t>www.delwp.vic.gov.au/onboard</w:t>
                          </w:r>
                        </w:hyperlink>
                      </w:p>
                      <w:p w:rsidR="00FC63B6" w:rsidRPr="0022751F" w:rsidRDefault="00FC63B6" w:rsidP="00FC63B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FC63B6" w:rsidRPr="0022751F" w:rsidRDefault="00CC4C65" w:rsidP="00FC63B6">
                        <w:pPr>
                          <w:widowControl w:val="0"/>
                          <w:spacing w:after="100" w:line="200" w:lineRule="atLeast"/>
                          <w:rPr>
                            <w:rFonts w:asciiTheme="minorHAnsi" w:hAnsiTheme="minorHAnsi"/>
                            <w:sz w:val="15"/>
                            <w:szCs w:val="15"/>
                          </w:rPr>
                        </w:pPr>
                        <w:r>
                          <w:rPr>
                            <w:rFonts w:asciiTheme="minorHAnsi" w:hAnsiTheme="minorHAnsi"/>
                            <w:sz w:val="15"/>
                            <w:szCs w:val="15"/>
                          </w:rPr>
                          <w:t>1</w:t>
                        </w:r>
                        <w:r w:rsidR="000300BF">
                          <w:rPr>
                            <w:rFonts w:asciiTheme="minorHAnsi" w:hAnsiTheme="minorHAnsi"/>
                            <w:sz w:val="15"/>
                            <w:szCs w:val="15"/>
                          </w:rPr>
                          <w:t>2</w:t>
                        </w:r>
                        <w:bookmarkStart w:id="1" w:name="_GoBack"/>
                        <w:bookmarkEnd w:id="1"/>
                        <w:r w:rsidR="008C1E1B">
                          <w:rPr>
                            <w:rFonts w:asciiTheme="minorHAnsi" w:hAnsiTheme="minorHAnsi"/>
                            <w:sz w:val="15"/>
                            <w:szCs w:val="15"/>
                          </w:rPr>
                          <w:t xml:space="preserve"> December</w:t>
                        </w:r>
                        <w:r w:rsidR="00AB27F2">
                          <w:rPr>
                            <w:rFonts w:asciiTheme="minorHAnsi" w:hAnsiTheme="minorHAnsi"/>
                            <w:sz w:val="15"/>
                            <w:szCs w:val="15"/>
                          </w:rPr>
                          <w:t xml:space="preserve"> 2016</w:t>
                        </w:r>
                        <w:r w:rsidR="00FC63B6" w:rsidRPr="0022751F">
                          <w:rPr>
                            <w:rFonts w:asciiTheme="minorHAnsi" w:hAnsiTheme="minorHAnsi"/>
                            <w:sz w:val="15"/>
                            <w:szCs w:val="15"/>
                          </w:rPr>
                          <w:t xml:space="preserve"> (</w:t>
                        </w:r>
                        <w:r w:rsidR="001D1906">
                          <w:rPr>
                            <w:rStyle w:val="Emphasis-Bold"/>
                            <w:rFonts w:asciiTheme="minorHAnsi" w:hAnsiTheme="minorHAnsi"/>
                            <w:sz w:val="15"/>
                            <w:szCs w:val="15"/>
                          </w:rPr>
                          <w:t xml:space="preserve">version </w:t>
                        </w:r>
                        <w:r w:rsidR="007F3C39">
                          <w:rPr>
                            <w:rStyle w:val="Emphasis-Bold"/>
                            <w:rFonts w:asciiTheme="minorHAnsi" w:hAnsiTheme="minorHAnsi"/>
                            <w:sz w:val="15"/>
                            <w:szCs w:val="15"/>
                          </w:rPr>
                          <w:t>3.0</w:t>
                        </w:r>
                        <w:r w:rsidR="00767181">
                          <w:rPr>
                            <w:rStyle w:val="Emphasis-Bold"/>
                            <w:rFonts w:asciiTheme="minorHAnsi" w:hAnsiTheme="minorHAnsi"/>
                            <w:sz w:val="15"/>
                            <w:szCs w:val="15"/>
                          </w:rPr>
                          <w:t>2</w:t>
                        </w:r>
                        <w:r w:rsidR="00FC63B6" w:rsidRPr="0022751F">
                          <w:rPr>
                            <w:rFonts w:asciiTheme="minorHAnsi" w:hAnsiTheme="minorHAnsi"/>
                            <w:sz w:val="15"/>
                            <w:szCs w:val="15"/>
                          </w:rPr>
                          <w:t xml:space="preserve">) </w:t>
                        </w:r>
                        <w:r w:rsidR="00416A37">
                          <w:rPr>
                            <w:rFonts w:asciiTheme="minorHAnsi" w:hAnsiTheme="minorHAnsi"/>
                            <w:sz w:val="15"/>
                            <w:szCs w:val="15"/>
                          </w:rPr>
                          <w:t xml:space="preserve">– </w:t>
                        </w:r>
                        <w:r w:rsidR="00AF2191" w:rsidRPr="00806F4F">
                          <w:rPr>
                            <w:rFonts w:asciiTheme="minorHAnsi" w:hAnsiTheme="minorHAnsi"/>
                            <w:sz w:val="15"/>
                            <w:szCs w:val="15"/>
                          </w:rPr>
                          <w:t>5</w:t>
                        </w:r>
                        <w:r w:rsidR="00D867B6">
                          <w:rPr>
                            <w:rFonts w:asciiTheme="minorHAnsi" w:hAnsiTheme="minorHAnsi"/>
                            <w:sz w:val="15"/>
                            <w:szCs w:val="15"/>
                          </w:rPr>
                          <w:t>.1</w:t>
                        </w:r>
                        <w:r w:rsidR="000300BF">
                          <w:rPr>
                            <w:rFonts w:asciiTheme="minorHAnsi" w:hAnsiTheme="minorHAnsi"/>
                            <w:sz w:val="15"/>
                            <w:szCs w:val="15"/>
                          </w:rPr>
                          <w:t>8</w:t>
                        </w:r>
                        <w:r w:rsidR="00AF2191" w:rsidRPr="00806F4F">
                          <w:rPr>
                            <w:rFonts w:asciiTheme="minorHAnsi" w:hAnsiTheme="minorHAnsi"/>
                            <w:sz w:val="15"/>
                            <w:szCs w:val="15"/>
                          </w:rPr>
                          <w:t xml:space="preserve"> </w:t>
                        </w:r>
                      </w:p>
                      <w:p w:rsidR="00FC63B6" w:rsidRDefault="00FC63B6" w:rsidP="00FC63B6">
                        <w:pPr>
                          <w:pStyle w:val="ImprintText"/>
                          <w:rPr>
                            <w:sz w:val="15"/>
                            <w:szCs w:val="15"/>
                          </w:rPr>
                        </w:pPr>
                        <w:r>
                          <w:rPr>
                            <w:sz w:val="15"/>
                            <w:szCs w:val="15"/>
                          </w:rPr>
                          <w:t xml:space="preserve">© </w:t>
                        </w:r>
                        <w:r w:rsidRPr="0022751F">
                          <w:rPr>
                            <w:sz w:val="15"/>
                            <w:szCs w:val="15"/>
                          </w:rPr>
                          <w:t>State of Victoria Department of Environmen</w:t>
                        </w:r>
                        <w:r w:rsidR="00AB27F2">
                          <w:rPr>
                            <w:sz w:val="15"/>
                            <w:szCs w:val="15"/>
                          </w:rPr>
                          <w:t>t, Land, Water and Planning 2016</w:t>
                        </w:r>
                      </w:p>
                      <w:p w:rsidR="00FC63B6" w:rsidRPr="0022751F" w:rsidRDefault="00FC63B6" w:rsidP="00FC63B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FC63B6" w:rsidRPr="002072AB" w:rsidRDefault="00FC63B6" w:rsidP="00FC63B6">
                        <w:pPr>
                          <w:pStyle w:val="Disclaimer"/>
                          <w:rPr>
                            <w:rFonts w:asciiTheme="minorHAnsi" w:hAnsiTheme="minorHAnsi"/>
                            <w:szCs w:val="15"/>
                          </w:rPr>
                        </w:pPr>
                        <w:r w:rsidRPr="002072AB">
                          <w:rPr>
                            <w:noProof/>
                            <w:szCs w:val="15"/>
                          </w:rPr>
                          <w:drawing>
                            <wp:inline distT="0" distB="0" distL="0" distR="0" wp14:anchorId="6934CDC7" wp14:editId="29C73F5C">
                              <wp:extent cx="297418" cy="104094"/>
                              <wp:effectExtent l="0" t="0" r="7620" b="0"/>
                              <wp:docPr id="15" name="Picture 1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3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4nsEAAADbAAAADwAAAGRycy9kb3ducmV2LnhtbESPTWvCQBCG7wX/wzJCb3Wjh6REVymC&#10;4CVQY8DrkB2T0OxsyK4m/fedg9DbDPN+PLM7zK5XTxpD59nAepWAIq697bgxUF1PH5+gQkS22Hsm&#10;A78U4LBfvO0wt37iCz3L2CgJ4ZCjgTbGIdc61C05DCs/EMvt7keHUdax0XbEScJdrzdJkmqHHUtD&#10;iwMdW6p/yoeTkiJWZ9xk+L0ORX/jKr2estSY9+X8tQUVaY7/4pf7bAVf6OUXGUD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LiewQAAANsAAAAPAAAAAAAAAAAAAAAA&#10;AKECAABkcnMvZG93bnJldi54bWxQSwUGAAAAAAQABAD5AAAAjwMAAAAA&#10;" strokecolor="#40a7c2 [3048]"/>
                <v:shape id="Text Box 11"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cIr4A&#10;AADbAAAADwAAAGRycy9kb3ducmV2LnhtbERPS4vCMBC+C/sfwgh707SLyFKNRYQFTws+1vPQjE2x&#10;mZQk1uqv3wiCt/n4nrMsB9uKnnxoHCvIpxkI4srphmsFx8PP5BtEiMgaW8ek4E4BytXHaImFdjfe&#10;Ub+PtUghHApUYGLsCilDZchimLqOOHFn5y3GBH0ttcdbCret/MqyubTYcGow2NHGUHXZX62CU20f&#10;p7+880bbdsa/j/vh6BqlPsfDegEi0hDf4pd7q9P8HJ6/p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XCK+AAAA2wAAAA8AAAAAAAAAAAAAAAAAmAIAAGRycy9kb3ducmV2&#10;LnhtbFBLBQYAAAAABAAEAPUAAACDAwAAAAA=&#10;" stroked="f" strokeweight=".5pt">
                  <v:textbox>
                    <w:txbxContent>
                      <w:p w:rsidR="00FC63B6" w:rsidRPr="00BA342A" w:rsidRDefault="00FC63B6" w:rsidP="00FC63B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236EA8" w:rsidP="000F55F1">
    <w:pPr>
      <w:pStyle w:val="ImprintText"/>
      <w:spacing w:before="300" w:after="0"/>
    </w:pPr>
    <w:r>
      <w:rPr>
        <w:noProof/>
        <w:lang w:eastAsia="en-AU"/>
      </w:rPr>
      <w:drawing>
        <wp:anchor distT="0" distB="0" distL="114300" distR="114300" simplePos="0" relativeHeight="251665408" behindDoc="0" locked="0" layoutInCell="1" allowOverlap="1" wp14:anchorId="3C791130" wp14:editId="0B954278">
          <wp:simplePos x="0" y="0"/>
          <wp:positionH relativeFrom="column">
            <wp:posOffset>5381674</wp:posOffset>
          </wp:positionH>
          <wp:positionV relativeFrom="paragraph">
            <wp:posOffset>123314</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C047DD">
          <w:rPr>
            <w:noProof/>
            <w:szCs w:val="16"/>
          </w:rPr>
          <w:t>4</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C047DD">
          <w:rPr>
            <w:noProof/>
            <w:szCs w:val="16"/>
          </w:rPr>
          <w:t>4</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236EA8"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42549C77" wp14:editId="43034903">
          <wp:simplePos x="0" y="0"/>
          <wp:positionH relativeFrom="column">
            <wp:posOffset>5135490</wp:posOffset>
          </wp:positionH>
          <wp:positionV relativeFrom="paragraph">
            <wp:posOffset>190184</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C047DD">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C047DD">
          <w:rPr>
            <w:noProof/>
            <w:szCs w:val="16"/>
          </w:rPr>
          <w:t>4</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6EF1460A" wp14:editId="3918DF99">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2C1B9A" w:rsidP="009D2D0B">
          <w:pPr>
            <w:pStyle w:val="CertHDWhite"/>
            <w:tabs>
              <w:tab w:val="left" w:pos="3544"/>
              <w:tab w:val="left" w:pos="7513"/>
            </w:tabs>
            <w:rPr>
              <w:sz w:val="28"/>
              <w:szCs w:val="28"/>
            </w:rPr>
          </w:pPr>
          <w:r>
            <w:rPr>
              <w:sz w:val="28"/>
              <w:szCs w:val="28"/>
            </w:rPr>
            <w:t>Inducti</w:t>
          </w:r>
          <w:r w:rsidR="00A35BF0">
            <w:rPr>
              <w:sz w:val="28"/>
              <w:szCs w:val="28"/>
            </w:rPr>
            <w:t>on and education – (5</w:t>
          </w:r>
          <w:r w:rsidR="000C753A">
            <w:rPr>
              <w:sz w:val="28"/>
              <w:szCs w:val="28"/>
            </w:rPr>
            <w:t xml:space="preserve">) </w:t>
          </w:r>
          <w:r w:rsidR="00A35BF0">
            <w:rPr>
              <w:sz w:val="28"/>
              <w:szCs w:val="28"/>
            </w:rPr>
            <w:t>Induction programs</w:t>
          </w:r>
          <w:r w:rsidR="009D2D0B">
            <w:rPr>
              <w:sz w:val="28"/>
              <w:szCs w:val="28"/>
            </w:rPr>
            <w:t xml:space="preserve"> and kits</w:t>
          </w:r>
          <w:r w:rsidR="00411D20">
            <w:rPr>
              <w:sz w:val="28"/>
              <w:szCs w:val="28"/>
            </w:rPr>
            <w:t xml:space="preserve"> – minimum contents</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787DF424" wp14:editId="130C0C8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09EAC3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1C6DD7"/>
    <w:multiLevelType w:val="hybridMultilevel"/>
    <w:tmpl w:val="9C46BC0C"/>
    <w:lvl w:ilvl="0" w:tplc="6734BC70">
      <w:start w:val="20"/>
      <w:numFmt w:val="bullet"/>
      <w:lvlText w:val="-"/>
      <w:lvlJc w:val="left"/>
      <w:pPr>
        <w:ind w:left="720" w:hanging="360"/>
      </w:pPr>
      <w:rPr>
        <w:rFonts w:ascii="Calibri" w:eastAsia="Times New Roman"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650497B"/>
    <w:multiLevelType w:val="hybridMultilevel"/>
    <w:tmpl w:val="84B80F8C"/>
    <w:lvl w:ilvl="0" w:tplc="C7E2E402">
      <w:start w:val="1"/>
      <w:numFmt w:val="bullet"/>
      <w:pStyle w:val="FootnoteBullet"/>
      <w:lvlText w:val=""/>
      <w:lvlJc w:val="left"/>
      <w:pPr>
        <w:ind w:left="53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D1C662B"/>
    <w:multiLevelType w:val="hybridMultilevel"/>
    <w:tmpl w:val="463604E0"/>
    <w:lvl w:ilvl="0" w:tplc="172686AE">
      <w:start w:val="16"/>
      <w:numFmt w:val="bullet"/>
      <w:lvlText w:val="-"/>
      <w:lvlJc w:val="left"/>
      <w:pPr>
        <w:ind w:left="717" w:hanging="360"/>
      </w:pPr>
      <w:rPr>
        <w:rFonts w:ascii="Calibri" w:eastAsia="Times New Roman" w:hAnsi="Calibri"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8"/>
  </w:num>
  <w:num w:numId="15">
    <w:abstractNumId w:val="24"/>
  </w:num>
  <w:num w:numId="16">
    <w:abstractNumId w:val="12"/>
  </w:num>
  <w:num w:numId="17">
    <w:abstractNumId w:val="24"/>
  </w:num>
  <w:num w:numId="18">
    <w:abstractNumId w:val="24"/>
  </w:num>
  <w:num w:numId="19">
    <w:abstractNumId w:val="24"/>
  </w:num>
  <w:num w:numId="20">
    <w:abstractNumId w:val="11"/>
  </w:num>
  <w:num w:numId="21">
    <w:abstractNumId w:val="14"/>
  </w:num>
  <w:num w:numId="22">
    <w:abstractNumId w:val="19"/>
  </w:num>
  <w:num w:numId="23">
    <w:abstractNumId w:val="22"/>
  </w:num>
  <w:num w:numId="24">
    <w:abstractNumId w:val="13"/>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4"/>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4"/>
  </w:num>
  <w:num w:numId="46">
    <w:abstractNumId w:val="10"/>
  </w:num>
  <w:num w:numId="4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BFA"/>
    <w:rsid w:val="00012793"/>
    <w:rsid w:val="00013D7A"/>
    <w:rsid w:val="00016DA9"/>
    <w:rsid w:val="00017650"/>
    <w:rsid w:val="00023243"/>
    <w:rsid w:val="000300BF"/>
    <w:rsid w:val="0003050C"/>
    <w:rsid w:val="000309D3"/>
    <w:rsid w:val="00031FA3"/>
    <w:rsid w:val="00032BD3"/>
    <w:rsid w:val="00034A8C"/>
    <w:rsid w:val="00034D96"/>
    <w:rsid w:val="0003535F"/>
    <w:rsid w:val="000369B5"/>
    <w:rsid w:val="00037667"/>
    <w:rsid w:val="0004460F"/>
    <w:rsid w:val="00045BB3"/>
    <w:rsid w:val="000473F1"/>
    <w:rsid w:val="0005159F"/>
    <w:rsid w:val="0005215B"/>
    <w:rsid w:val="0005400E"/>
    <w:rsid w:val="0005452B"/>
    <w:rsid w:val="00055FEF"/>
    <w:rsid w:val="00056393"/>
    <w:rsid w:val="000566BB"/>
    <w:rsid w:val="00060F57"/>
    <w:rsid w:val="00062DAF"/>
    <w:rsid w:val="00063E31"/>
    <w:rsid w:val="000645D2"/>
    <w:rsid w:val="00065CAC"/>
    <w:rsid w:val="00075307"/>
    <w:rsid w:val="00077758"/>
    <w:rsid w:val="00080292"/>
    <w:rsid w:val="000811DD"/>
    <w:rsid w:val="0008147F"/>
    <w:rsid w:val="00083367"/>
    <w:rsid w:val="00084C46"/>
    <w:rsid w:val="000868C7"/>
    <w:rsid w:val="0008754B"/>
    <w:rsid w:val="00087AE2"/>
    <w:rsid w:val="00094DEC"/>
    <w:rsid w:val="0009699E"/>
    <w:rsid w:val="000A1A91"/>
    <w:rsid w:val="000A2D1C"/>
    <w:rsid w:val="000A6F67"/>
    <w:rsid w:val="000B04C5"/>
    <w:rsid w:val="000B5903"/>
    <w:rsid w:val="000B5B13"/>
    <w:rsid w:val="000B65E4"/>
    <w:rsid w:val="000C1E27"/>
    <w:rsid w:val="000C3259"/>
    <w:rsid w:val="000C39E4"/>
    <w:rsid w:val="000C42CA"/>
    <w:rsid w:val="000C4611"/>
    <w:rsid w:val="000C6982"/>
    <w:rsid w:val="000C753A"/>
    <w:rsid w:val="000D449B"/>
    <w:rsid w:val="000D54BA"/>
    <w:rsid w:val="000E37C5"/>
    <w:rsid w:val="000E6382"/>
    <w:rsid w:val="000E6B1C"/>
    <w:rsid w:val="000E7036"/>
    <w:rsid w:val="000F04BB"/>
    <w:rsid w:val="000F0790"/>
    <w:rsid w:val="000F1B8D"/>
    <w:rsid w:val="000F2DEA"/>
    <w:rsid w:val="000F55F1"/>
    <w:rsid w:val="000F5676"/>
    <w:rsid w:val="00100AA5"/>
    <w:rsid w:val="001013E9"/>
    <w:rsid w:val="001033DC"/>
    <w:rsid w:val="001062F7"/>
    <w:rsid w:val="0010657E"/>
    <w:rsid w:val="0011067F"/>
    <w:rsid w:val="00111811"/>
    <w:rsid w:val="00111BC2"/>
    <w:rsid w:val="00113F41"/>
    <w:rsid w:val="001147F9"/>
    <w:rsid w:val="00120C40"/>
    <w:rsid w:val="00120F3F"/>
    <w:rsid w:val="00121DE0"/>
    <w:rsid w:val="00123FCE"/>
    <w:rsid w:val="00124D1C"/>
    <w:rsid w:val="00125376"/>
    <w:rsid w:val="001268EB"/>
    <w:rsid w:val="00126FEA"/>
    <w:rsid w:val="00127E9C"/>
    <w:rsid w:val="00131218"/>
    <w:rsid w:val="00131B2C"/>
    <w:rsid w:val="00132DA3"/>
    <w:rsid w:val="00135491"/>
    <w:rsid w:val="0013573E"/>
    <w:rsid w:val="00135E62"/>
    <w:rsid w:val="00141265"/>
    <w:rsid w:val="001443DF"/>
    <w:rsid w:val="0014585D"/>
    <w:rsid w:val="00150024"/>
    <w:rsid w:val="001504F5"/>
    <w:rsid w:val="00154170"/>
    <w:rsid w:val="00154577"/>
    <w:rsid w:val="0016332E"/>
    <w:rsid w:val="001635B1"/>
    <w:rsid w:val="001637D5"/>
    <w:rsid w:val="00163B59"/>
    <w:rsid w:val="0017095A"/>
    <w:rsid w:val="0017104D"/>
    <w:rsid w:val="001712BA"/>
    <w:rsid w:val="001732CC"/>
    <w:rsid w:val="00176B23"/>
    <w:rsid w:val="00177115"/>
    <w:rsid w:val="001778FE"/>
    <w:rsid w:val="00181FBC"/>
    <w:rsid w:val="001824D8"/>
    <w:rsid w:val="00185427"/>
    <w:rsid w:val="001855F2"/>
    <w:rsid w:val="00190AA8"/>
    <w:rsid w:val="00190BEB"/>
    <w:rsid w:val="0019598E"/>
    <w:rsid w:val="00196405"/>
    <w:rsid w:val="001A243B"/>
    <w:rsid w:val="001A2547"/>
    <w:rsid w:val="001A2CB1"/>
    <w:rsid w:val="001A3C24"/>
    <w:rsid w:val="001A3E1C"/>
    <w:rsid w:val="001A4A93"/>
    <w:rsid w:val="001A70BE"/>
    <w:rsid w:val="001B08DA"/>
    <w:rsid w:val="001B0CE5"/>
    <w:rsid w:val="001B11D5"/>
    <w:rsid w:val="001B16D0"/>
    <w:rsid w:val="001B2404"/>
    <w:rsid w:val="001B2943"/>
    <w:rsid w:val="001B371D"/>
    <w:rsid w:val="001B3897"/>
    <w:rsid w:val="001B64A3"/>
    <w:rsid w:val="001C14C3"/>
    <w:rsid w:val="001C3014"/>
    <w:rsid w:val="001C3CA8"/>
    <w:rsid w:val="001C3D80"/>
    <w:rsid w:val="001D1906"/>
    <w:rsid w:val="001E1ADF"/>
    <w:rsid w:val="001E2024"/>
    <w:rsid w:val="001E46F0"/>
    <w:rsid w:val="001F256D"/>
    <w:rsid w:val="001F29BF"/>
    <w:rsid w:val="001F40CB"/>
    <w:rsid w:val="002015AD"/>
    <w:rsid w:val="0020255B"/>
    <w:rsid w:val="00202CF5"/>
    <w:rsid w:val="0020300D"/>
    <w:rsid w:val="0021064B"/>
    <w:rsid w:val="00211550"/>
    <w:rsid w:val="002122D2"/>
    <w:rsid w:val="00212FD4"/>
    <w:rsid w:val="002131B6"/>
    <w:rsid w:val="002151DC"/>
    <w:rsid w:val="00215216"/>
    <w:rsid w:val="00217921"/>
    <w:rsid w:val="00217D52"/>
    <w:rsid w:val="0022036E"/>
    <w:rsid w:val="00220602"/>
    <w:rsid w:val="00220902"/>
    <w:rsid w:val="00223839"/>
    <w:rsid w:val="00223B82"/>
    <w:rsid w:val="002242E0"/>
    <w:rsid w:val="0022751F"/>
    <w:rsid w:val="00234ABA"/>
    <w:rsid w:val="00235D66"/>
    <w:rsid w:val="00236DA4"/>
    <w:rsid w:val="00236EA8"/>
    <w:rsid w:val="00237967"/>
    <w:rsid w:val="0024281C"/>
    <w:rsid w:val="00242DFE"/>
    <w:rsid w:val="0024382F"/>
    <w:rsid w:val="00245868"/>
    <w:rsid w:val="00245F20"/>
    <w:rsid w:val="00245FE4"/>
    <w:rsid w:val="00246D68"/>
    <w:rsid w:val="002507EA"/>
    <w:rsid w:val="00250DD6"/>
    <w:rsid w:val="002521A9"/>
    <w:rsid w:val="002526EA"/>
    <w:rsid w:val="002537A2"/>
    <w:rsid w:val="002552C0"/>
    <w:rsid w:val="0025666F"/>
    <w:rsid w:val="00256C49"/>
    <w:rsid w:val="00257A07"/>
    <w:rsid w:val="00261DCB"/>
    <w:rsid w:val="00264556"/>
    <w:rsid w:val="00266355"/>
    <w:rsid w:val="0026659C"/>
    <w:rsid w:val="00270739"/>
    <w:rsid w:val="00270C1E"/>
    <w:rsid w:val="00271B91"/>
    <w:rsid w:val="002834A5"/>
    <w:rsid w:val="00285925"/>
    <w:rsid w:val="002917CF"/>
    <w:rsid w:val="00291DB8"/>
    <w:rsid w:val="002927B3"/>
    <w:rsid w:val="00292C20"/>
    <w:rsid w:val="00292D22"/>
    <w:rsid w:val="002A3628"/>
    <w:rsid w:val="002A7F1F"/>
    <w:rsid w:val="002B7D7A"/>
    <w:rsid w:val="002C12AF"/>
    <w:rsid w:val="002C1B9A"/>
    <w:rsid w:val="002C348F"/>
    <w:rsid w:val="002C4BC3"/>
    <w:rsid w:val="002C5BA2"/>
    <w:rsid w:val="002D0FE0"/>
    <w:rsid w:val="002D2478"/>
    <w:rsid w:val="002D3CC8"/>
    <w:rsid w:val="002D612C"/>
    <w:rsid w:val="002D6390"/>
    <w:rsid w:val="002D6667"/>
    <w:rsid w:val="002D680B"/>
    <w:rsid w:val="002D7E3C"/>
    <w:rsid w:val="002E0BD7"/>
    <w:rsid w:val="002E2EC1"/>
    <w:rsid w:val="002E5A87"/>
    <w:rsid w:val="002E7BCC"/>
    <w:rsid w:val="002F0570"/>
    <w:rsid w:val="002F09DE"/>
    <w:rsid w:val="002F2F47"/>
    <w:rsid w:val="002F3AB6"/>
    <w:rsid w:val="003011AF"/>
    <w:rsid w:val="003143FD"/>
    <w:rsid w:val="0031478B"/>
    <w:rsid w:val="003202D2"/>
    <w:rsid w:val="00321F9E"/>
    <w:rsid w:val="00327CF0"/>
    <w:rsid w:val="00330679"/>
    <w:rsid w:val="00330D84"/>
    <w:rsid w:val="00333842"/>
    <w:rsid w:val="003353F6"/>
    <w:rsid w:val="00336CF4"/>
    <w:rsid w:val="00336EBB"/>
    <w:rsid w:val="00340B78"/>
    <w:rsid w:val="00343384"/>
    <w:rsid w:val="00343FA3"/>
    <w:rsid w:val="00345BFA"/>
    <w:rsid w:val="00345CC7"/>
    <w:rsid w:val="00350C01"/>
    <w:rsid w:val="00351147"/>
    <w:rsid w:val="0035198A"/>
    <w:rsid w:val="0035358F"/>
    <w:rsid w:val="003543E6"/>
    <w:rsid w:val="00357071"/>
    <w:rsid w:val="00360B69"/>
    <w:rsid w:val="0036130E"/>
    <w:rsid w:val="00361402"/>
    <w:rsid w:val="00362B94"/>
    <w:rsid w:val="003700E2"/>
    <w:rsid w:val="00370E85"/>
    <w:rsid w:val="00373BF2"/>
    <w:rsid w:val="00374BAC"/>
    <w:rsid w:val="00375632"/>
    <w:rsid w:val="00377355"/>
    <w:rsid w:val="00382240"/>
    <w:rsid w:val="00382758"/>
    <w:rsid w:val="00382820"/>
    <w:rsid w:val="00385DE1"/>
    <w:rsid w:val="00391A67"/>
    <w:rsid w:val="00391FEF"/>
    <w:rsid w:val="00395339"/>
    <w:rsid w:val="003978E7"/>
    <w:rsid w:val="003A138D"/>
    <w:rsid w:val="003A21AE"/>
    <w:rsid w:val="003A38C0"/>
    <w:rsid w:val="003A5532"/>
    <w:rsid w:val="003A5B96"/>
    <w:rsid w:val="003A5FCB"/>
    <w:rsid w:val="003A7647"/>
    <w:rsid w:val="003B0216"/>
    <w:rsid w:val="003B43DE"/>
    <w:rsid w:val="003B59F9"/>
    <w:rsid w:val="003B5CFD"/>
    <w:rsid w:val="003C0077"/>
    <w:rsid w:val="003C0A14"/>
    <w:rsid w:val="003C0AE2"/>
    <w:rsid w:val="003C2962"/>
    <w:rsid w:val="003C2BBF"/>
    <w:rsid w:val="003C64BD"/>
    <w:rsid w:val="003C72A7"/>
    <w:rsid w:val="003D0213"/>
    <w:rsid w:val="003D13F2"/>
    <w:rsid w:val="003D665A"/>
    <w:rsid w:val="003D7766"/>
    <w:rsid w:val="003E0B9A"/>
    <w:rsid w:val="003E3615"/>
    <w:rsid w:val="003E5C7B"/>
    <w:rsid w:val="003F1932"/>
    <w:rsid w:val="003F1AC1"/>
    <w:rsid w:val="003F23BC"/>
    <w:rsid w:val="003F3A22"/>
    <w:rsid w:val="003F437F"/>
    <w:rsid w:val="003F4EA1"/>
    <w:rsid w:val="003F519F"/>
    <w:rsid w:val="003F5A5C"/>
    <w:rsid w:val="003F6AB9"/>
    <w:rsid w:val="004021E0"/>
    <w:rsid w:val="004048B3"/>
    <w:rsid w:val="00404EF3"/>
    <w:rsid w:val="00405E81"/>
    <w:rsid w:val="00406463"/>
    <w:rsid w:val="00406C12"/>
    <w:rsid w:val="00407907"/>
    <w:rsid w:val="00410AFE"/>
    <w:rsid w:val="00411D20"/>
    <w:rsid w:val="004168CB"/>
    <w:rsid w:val="00416A37"/>
    <w:rsid w:val="004234F9"/>
    <w:rsid w:val="00423974"/>
    <w:rsid w:val="00424165"/>
    <w:rsid w:val="00426499"/>
    <w:rsid w:val="00426930"/>
    <w:rsid w:val="00430A52"/>
    <w:rsid w:val="004314E7"/>
    <w:rsid w:val="0043327C"/>
    <w:rsid w:val="0043348E"/>
    <w:rsid w:val="00434C7E"/>
    <w:rsid w:val="0043650D"/>
    <w:rsid w:val="004404E1"/>
    <w:rsid w:val="00440FA8"/>
    <w:rsid w:val="004426E1"/>
    <w:rsid w:val="0044301C"/>
    <w:rsid w:val="00443C57"/>
    <w:rsid w:val="004448D7"/>
    <w:rsid w:val="004452F7"/>
    <w:rsid w:val="004465D2"/>
    <w:rsid w:val="004469C1"/>
    <w:rsid w:val="00450FAA"/>
    <w:rsid w:val="004519C1"/>
    <w:rsid w:val="00452718"/>
    <w:rsid w:val="00452CFC"/>
    <w:rsid w:val="00455AC0"/>
    <w:rsid w:val="00455EFA"/>
    <w:rsid w:val="00464027"/>
    <w:rsid w:val="004703D2"/>
    <w:rsid w:val="004752E5"/>
    <w:rsid w:val="0047538B"/>
    <w:rsid w:val="00475444"/>
    <w:rsid w:val="00476585"/>
    <w:rsid w:val="0047767A"/>
    <w:rsid w:val="00482454"/>
    <w:rsid w:val="00482508"/>
    <w:rsid w:val="00482E2F"/>
    <w:rsid w:val="00484154"/>
    <w:rsid w:val="00484F0C"/>
    <w:rsid w:val="00487611"/>
    <w:rsid w:val="00490560"/>
    <w:rsid w:val="0049315D"/>
    <w:rsid w:val="004940AA"/>
    <w:rsid w:val="00496199"/>
    <w:rsid w:val="004969C1"/>
    <w:rsid w:val="00496AE8"/>
    <w:rsid w:val="00496FAE"/>
    <w:rsid w:val="00497268"/>
    <w:rsid w:val="004A0950"/>
    <w:rsid w:val="004B3050"/>
    <w:rsid w:val="004B511E"/>
    <w:rsid w:val="004B6550"/>
    <w:rsid w:val="004C19AB"/>
    <w:rsid w:val="004C702A"/>
    <w:rsid w:val="004D2CEA"/>
    <w:rsid w:val="004D2F10"/>
    <w:rsid w:val="004D551A"/>
    <w:rsid w:val="004D7BA0"/>
    <w:rsid w:val="004E0DA3"/>
    <w:rsid w:val="004E3100"/>
    <w:rsid w:val="004E3891"/>
    <w:rsid w:val="004E3903"/>
    <w:rsid w:val="004E4BDF"/>
    <w:rsid w:val="004E6888"/>
    <w:rsid w:val="004E6D65"/>
    <w:rsid w:val="004F0BEF"/>
    <w:rsid w:val="004F703F"/>
    <w:rsid w:val="004F79F8"/>
    <w:rsid w:val="00500777"/>
    <w:rsid w:val="00502C27"/>
    <w:rsid w:val="005031A1"/>
    <w:rsid w:val="00503A60"/>
    <w:rsid w:val="0050531A"/>
    <w:rsid w:val="005056F5"/>
    <w:rsid w:val="0050769F"/>
    <w:rsid w:val="00510A2E"/>
    <w:rsid w:val="00511055"/>
    <w:rsid w:val="00512102"/>
    <w:rsid w:val="00512D4E"/>
    <w:rsid w:val="005136F3"/>
    <w:rsid w:val="00515965"/>
    <w:rsid w:val="00516530"/>
    <w:rsid w:val="00521292"/>
    <w:rsid w:val="005229C6"/>
    <w:rsid w:val="00524C52"/>
    <w:rsid w:val="005304F7"/>
    <w:rsid w:val="00532C7C"/>
    <w:rsid w:val="00533181"/>
    <w:rsid w:val="00534B38"/>
    <w:rsid w:val="00540762"/>
    <w:rsid w:val="00540856"/>
    <w:rsid w:val="005420AF"/>
    <w:rsid w:val="00544B68"/>
    <w:rsid w:val="00546A68"/>
    <w:rsid w:val="00547E15"/>
    <w:rsid w:val="00552345"/>
    <w:rsid w:val="00557B17"/>
    <w:rsid w:val="00557FAC"/>
    <w:rsid w:val="0056076E"/>
    <w:rsid w:val="00561D8B"/>
    <w:rsid w:val="00565531"/>
    <w:rsid w:val="00572577"/>
    <w:rsid w:val="0057281A"/>
    <w:rsid w:val="00573554"/>
    <w:rsid w:val="00573E23"/>
    <w:rsid w:val="00575F3A"/>
    <w:rsid w:val="00580EFA"/>
    <w:rsid w:val="00581C00"/>
    <w:rsid w:val="00582724"/>
    <w:rsid w:val="005841D7"/>
    <w:rsid w:val="00585110"/>
    <w:rsid w:val="0058566F"/>
    <w:rsid w:val="00585F10"/>
    <w:rsid w:val="00587086"/>
    <w:rsid w:val="00590116"/>
    <w:rsid w:val="00590975"/>
    <w:rsid w:val="00592FB3"/>
    <w:rsid w:val="00593AD2"/>
    <w:rsid w:val="0059415F"/>
    <w:rsid w:val="00595B1F"/>
    <w:rsid w:val="005A274B"/>
    <w:rsid w:val="005A4EE7"/>
    <w:rsid w:val="005A5DCF"/>
    <w:rsid w:val="005B3CE8"/>
    <w:rsid w:val="005B4A26"/>
    <w:rsid w:val="005B55D4"/>
    <w:rsid w:val="005B56AA"/>
    <w:rsid w:val="005B617F"/>
    <w:rsid w:val="005C0745"/>
    <w:rsid w:val="005C0840"/>
    <w:rsid w:val="005C140E"/>
    <w:rsid w:val="005C44C6"/>
    <w:rsid w:val="005C55C9"/>
    <w:rsid w:val="005C5CD8"/>
    <w:rsid w:val="005C70F5"/>
    <w:rsid w:val="005C7645"/>
    <w:rsid w:val="005D4493"/>
    <w:rsid w:val="005D4BD5"/>
    <w:rsid w:val="005E0214"/>
    <w:rsid w:val="005E07C4"/>
    <w:rsid w:val="005E1401"/>
    <w:rsid w:val="005E3C89"/>
    <w:rsid w:val="005E5732"/>
    <w:rsid w:val="005F2C9F"/>
    <w:rsid w:val="005F45A6"/>
    <w:rsid w:val="00602D4A"/>
    <w:rsid w:val="00603134"/>
    <w:rsid w:val="00603603"/>
    <w:rsid w:val="006042D8"/>
    <w:rsid w:val="00606319"/>
    <w:rsid w:val="00606451"/>
    <w:rsid w:val="00606D3D"/>
    <w:rsid w:val="006105F4"/>
    <w:rsid w:val="0061171E"/>
    <w:rsid w:val="00613B7F"/>
    <w:rsid w:val="00613CE7"/>
    <w:rsid w:val="00613D25"/>
    <w:rsid w:val="00617901"/>
    <w:rsid w:val="006206C9"/>
    <w:rsid w:val="00621B48"/>
    <w:rsid w:val="00621E9B"/>
    <w:rsid w:val="00622BC0"/>
    <w:rsid w:val="00623482"/>
    <w:rsid w:val="0062464D"/>
    <w:rsid w:val="0062632A"/>
    <w:rsid w:val="0062669A"/>
    <w:rsid w:val="00631942"/>
    <w:rsid w:val="00631DAF"/>
    <w:rsid w:val="00632914"/>
    <w:rsid w:val="006331D4"/>
    <w:rsid w:val="006355B1"/>
    <w:rsid w:val="0063635A"/>
    <w:rsid w:val="0063791E"/>
    <w:rsid w:val="0064210E"/>
    <w:rsid w:val="00644975"/>
    <w:rsid w:val="0064562A"/>
    <w:rsid w:val="00645D03"/>
    <w:rsid w:val="00646DF5"/>
    <w:rsid w:val="00650E20"/>
    <w:rsid w:val="006528CF"/>
    <w:rsid w:val="0065542D"/>
    <w:rsid w:val="006554A4"/>
    <w:rsid w:val="00656186"/>
    <w:rsid w:val="00657072"/>
    <w:rsid w:val="00657781"/>
    <w:rsid w:val="006643F2"/>
    <w:rsid w:val="006664AF"/>
    <w:rsid w:val="006669C3"/>
    <w:rsid w:val="006670F9"/>
    <w:rsid w:val="00667E70"/>
    <w:rsid w:val="00671B59"/>
    <w:rsid w:val="006720C7"/>
    <w:rsid w:val="006741C5"/>
    <w:rsid w:val="00675636"/>
    <w:rsid w:val="00675F9B"/>
    <w:rsid w:val="006767CB"/>
    <w:rsid w:val="006800DF"/>
    <w:rsid w:val="00682720"/>
    <w:rsid w:val="006876CF"/>
    <w:rsid w:val="00690B9F"/>
    <w:rsid w:val="0069228D"/>
    <w:rsid w:val="006925F6"/>
    <w:rsid w:val="0069559B"/>
    <w:rsid w:val="0069754D"/>
    <w:rsid w:val="006A2476"/>
    <w:rsid w:val="006A4ED2"/>
    <w:rsid w:val="006A508D"/>
    <w:rsid w:val="006A5A05"/>
    <w:rsid w:val="006B04C6"/>
    <w:rsid w:val="006B1B8D"/>
    <w:rsid w:val="006B378D"/>
    <w:rsid w:val="006B4688"/>
    <w:rsid w:val="006B5799"/>
    <w:rsid w:val="006C254A"/>
    <w:rsid w:val="006D2BF6"/>
    <w:rsid w:val="006D2D9C"/>
    <w:rsid w:val="006D3535"/>
    <w:rsid w:val="006D3A50"/>
    <w:rsid w:val="006D5078"/>
    <w:rsid w:val="006D518A"/>
    <w:rsid w:val="006E48AC"/>
    <w:rsid w:val="006F0077"/>
    <w:rsid w:val="006F449C"/>
    <w:rsid w:val="006F53DB"/>
    <w:rsid w:val="006F54B9"/>
    <w:rsid w:val="006F707D"/>
    <w:rsid w:val="006F79E5"/>
    <w:rsid w:val="006F7A86"/>
    <w:rsid w:val="007025FC"/>
    <w:rsid w:val="00702F83"/>
    <w:rsid w:val="0070362A"/>
    <w:rsid w:val="007043A5"/>
    <w:rsid w:val="00705440"/>
    <w:rsid w:val="007065B0"/>
    <w:rsid w:val="007078B0"/>
    <w:rsid w:val="007131A0"/>
    <w:rsid w:val="00715A65"/>
    <w:rsid w:val="007160EB"/>
    <w:rsid w:val="007165C6"/>
    <w:rsid w:val="00716609"/>
    <w:rsid w:val="007173B8"/>
    <w:rsid w:val="007227B0"/>
    <w:rsid w:val="007240A2"/>
    <w:rsid w:val="007249DC"/>
    <w:rsid w:val="00725C38"/>
    <w:rsid w:val="00731631"/>
    <w:rsid w:val="00732BD4"/>
    <w:rsid w:val="00732D8A"/>
    <w:rsid w:val="00732FB1"/>
    <w:rsid w:val="00735668"/>
    <w:rsid w:val="00741E80"/>
    <w:rsid w:val="00744078"/>
    <w:rsid w:val="00746422"/>
    <w:rsid w:val="00752E36"/>
    <w:rsid w:val="007530E4"/>
    <w:rsid w:val="0075517A"/>
    <w:rsid w:val="0075546A"/>
    <w:rsid w:val="007561B0"/>
    <w:rsid w:val="00756A07"/>
    <w:rsid w:val="0075700A"/>
    <w:rsid w:val="007614E8"/>
    <w:rsid w:val="00762889"/>
    <w:rsid w:val="00763059"/>
    <w:rsid w:val="00763884"/>
    <w:rsid w:val="0076397D"/>
    <w:rsid w:val="00767181"/>
    <w:rsid w:val="007702BD"/>
    <w:rsid w:val="0077480D"/>
    <w:rsid w:val="00777619"/>
    <w:rsid w:val="0078220A"/>
    <w:rsid w:val="00783053"/>
    <w:rsid w:val="00785D3E"/>
    <w:rsid w:val="00786306"/>
    <w:rsid w:val="007923E7"/>
    <w:rsid w:val="00793F94"/>
    <w:rsid w:val="007968BD"/>
    <w:rsid w:val="007A022E"/>
    <w:rsid w:val="007A0889"/>
    <w:rsid w:val="007A289E"/>
    <w:rsid w:val="007A3E3D"/>
    <w:rsid w:val="007A5D48"/>
    <w:rsid w:val="007B03F3"/>
    <w:rsid w:val="007B0E45"/>
    <w:rsid w:val="007B10CA"/>
    <w:rsid w:val="007B1469"/>
    <w:rsid w:val="007B1667"/>
    <w:rsid w:val="007B1FEB"/>
    <w:rsid w:val="007B2389"/>
    <w:rsid w:val="007B2EE9"/>
    <w:rsid w:val="007B2FD9"/>
    <w:rsid w:val="007B37CB"/>
    <w:rsid w:val="007B4A06"/>
    <w:rsid w:val="007B4A19"/>
    <w:rsid w:val="007B62F8"/>
    <w:rsid w:val="007B6E26"/>
    <w:rsid w:val="007C09B3"/>
    <w:rsid w:val="007C279A"/>
    <w:rsid w:val="007D06DC"/>
    <w:rsid w:val="007D2C3F"/>
    <w:rsid w:val="007D4B4C"/>
    <w:rsid w:val="007D5D30"/>
    <w:rsid w:val="007E16FD"/>
    <w:rsid w:val="007E38C3"/>
    <w:rsid w:val="007E3C9C"/>
    <w:rsid w:val="007E3E33"/>
    <w:rsid w:val="007E6690"/>
    <w:rsid w:val="007F2140"/>
    <w:rsid w:val="007F2499"/>
    <w:rsid w:val="007F2AEB"/>
    <w:rsid w:val="007F3C39"/>
    <w:rsid w:val="007F5211"/>
    <w:rsid w:val="007F58FB"/>
    <w:rsid w:val="007F5D3D"/>
    <w:rsid w:val="00802259"/>
    <w:rsid w:val="008025EE"/>
    <w:rsid w:val="00804043"/>
    <w:rsid w:val="00805E22"/>
    <w:rsid w:val="00806CF4"/>
    <w:rsid w:val="00806F4F"/>
    <w:rsid w:val="008110B2"/>
    <w:rsid w:val="00812142"/>
    <w:rsid w:val="008122E2"/>
    <w:rsid w:val="00814978"/>
    <w:rsid w:val="00815894"/>
    <w:rsid w:val="00816084"/>
    <w:rsid w:val="008204D1"/>
    <w:rsid w:val="00820BEE"/>
    <w:rsid w:val="008221ED"/>
    <w:rsid w:val="00826EBF"/>
    <w:rsid w:val="00830822"/>
    <w:rsid w:val="00830F96"/>
    <w:rsid w:val="00831850"/>
    <w:rsid w:val="00832EEE"/>
    <w:rsid w:val="00833770"/>
    <w:rsid w:val="00834943"/>
    <w:rsid w:val="0083541B"/>
    <w:rsid w:val="008357E1"/>
    <w:rsid w:val="008401F9"/>
    <w:rsid w:val="00844D8A"/>
    <w:rsid w:val="00846CA9"/>
    <w:rsid w:val="008516C7"/>
    <w:rsid w:val="00853134"/>
    <w:rsid w:val="00855B6F"/>
    <w:rsid w:val="0086079E"/>
    <w:rsid w:val="00860B42"/>
    <w:rsid w:val="0086306E"/>
    <w:rsid w:val="008651A9"/>
    <w:rsid w:val="00865A63"/>
    <w:rsid w:val="0086648F"/>
    <w:rsid w:val="00866DB4"/>
    <w:rsid w:val="008700D2"/>
    <w:rsid w:val="00872BAF"/>
    <w:rsid w:val="008732EE"/>
    <w:rsid w:val="00880DA9"/>
    <w:rsid w:val="008832F9"/>
    <w:rsid w:val="00884560"/>
    <w:rsid w:val="00886834"/>
    <w:rsid w:val="00887805"/>
    <w:rsid w:val="00891818"/>
    <w:rsid w:val="008979EB"/>
    <w:rsid w:val="008A1AE2"/>
    <w:rsid w:val="008A34B4"/>
    <w:rsid w:val="008A3B87"/>
    <w:rsid w:val="008A6BBA"/>
    <w:rsid w:val="008A7384"/>
    <w:rsid w:val="008A751B"/>
    <w:rsid w:val="008B114B"/>
    <w:rsid w:val="008B15FC"/>
    <w:rsid w:val="008B5F80"/>
    <w:rsid w:val="008B61B5"/>
    <w:rsid w:val="008B79E3"/>
    <w:rsid w:val="008C1B1D"/>
    <w:rsid w:val="008C1E1B"/>
    <w:rsid w:val="008C2376"/>
    <w:rsid w:val="008C281A"/>
    <w:rsid w:val="008C3C4E"/>
    <w:rsid w:val="008C3D4F"/>
    <w:rsid w:val="008C7603"/>
    <w:rsid w:val="008C7E78"/>
    <w:rsid w:val="008D1E0D"/>
    <w:rsid w:val="008D4117"/>
    <w:rsid w:val="008D5558"/>
    <w:rsid w:val="008E0A93"/>
    <w:rsid w:val="008E0C65"/>
    <w:rsid w:val="008E0D51"/>
    <w:rsid w:val="008E1D00"/>
    <w:rsid w:val="008E2356"/>
    <w:rsid w:val="008E39E1"/>
    <w:rsid w:val="008E565E"/>
    <w:rsid w:val="008E66DF"/>
    <w:rsid w:val="008E69F4"/>
    <w:rsid w:val="008E6C22"/>
    <w:rsid w:val="008E7BB6"/>
    <w:rsid w:val="008E7BCE"/>
    <w:rsid w:val="008F4932"/>
    <w:rsid w:val="008F6051"/>
    <w:rsid w:val="008F78D7"/>
    <w:rsid w:val="009021EF"/>
    <w:rsid w:val="00904416"/>
    <w:rsid w:val="00905F97"/>
    <w:rsid w:val="0090672C"/>
    <w:rsid w:val="009074F1"/>
    <w:rsid w:val="0090774D"/>
    <w:rsid w:val="0091032D"/>
    <w:rsid w:val="00910CD2"/>
    <w:rsid w:val="00913CEA"/>
    <w:rsid w:val="009140D3"/>
    <w:rsid w:val="009152D0"/>
    <w:rsid w:val="00915D5A"/>
    <w:rsid w:val="009166AB"/>
    <w:rsid w:val="00920D57"/>
    <w:rsid w:val="00921B66"/>
    <w:rsid w:val="009226A7"/>
    <w:rsid w:val="00922926"/>
    <w:rsid w:val="009241FF"/>
    <w:rsid w:val="00924827"/>
    <w:rsid w:val="00924880"/>
    <w:rsid w:val="00926BDE"/>
    <w:rsid w:val="00926F8A"/>
    <w:rsid w:val="00927E6A"/>
    <w:rsid w:val="009322CB"/>
    <w:rsid w:val="00936BF0"/>
    <w:rsid w:val="00941763"/>
    <w:rsid w:val="00941DB4"/>
    <w:rsid w:val="00942CDF"/>
    <w:rsid w:val="00942FC1"/>
    <w:rsid w:val="00945A38"/>
    <w:rsid w:val="00946E43"/>
    <w:rsid w:val="00950A7C"/>
    <w:rsid w:val="00951A63"/>
    <w:rsid w:val="009523BC"/>
    <w:rsid w:val="00952694"/>
    <w:rsid w:val="00953344"/>
    <w:rsid w:val="009537CD"/>
    <w:rsid w:val="0095477D"/>
    <w:rsid w:val="00955676"/>
    <w:rsid w:val="0095725F"/>
    <w:rsid w:val="00960B62"/>
    <w:rsid w:val="00960CF0"/>
    <w:rsid w:val="00960E65"/>
    <w:rsid w:val="00961FFC"/>
    <w:rsid w:val="00962D3B"/>
    <w:rsid w:val="0096491E"/>
    <w:rsid w:val="00964FFC"/>
    <w:rsid w:val="009651EB"/>
    <w:rsid w:val="00965AF4"/>
    <w:rsid w:val="00967951"/>
    <w:rsid w:val="00971093"/>
    <w:rsid w:val="00972191"/>
    <w:rsid w:val="00972BB4"/>
    <w:rsid w:val="00974044"/>
    <w:rsid w:val="00976C10"/>
    <w:rsid w:val="00981EA2"/>
    <w:rsid w:val="00984BA0"/>
    <w:rsid w:val="009872FB"/>
    <w:rsid w:val="009877CB"/>
    <w:rsid w:val="00990FC8"/>
    <w:rsid w:val="00991A46"/>
    <w:rsid w:val="00992718"/>
    <w:rsid w:val="009939E7"/>
    <w:rsid w:val="0099590A"/>
    <w:rsid w:val="00997934"/>
    <w:rsid w:val="009A0FD3"/>
    <w:rsid w:val="009A11D6"/>
    <w:rsid w:val="009A1739"/>
    <w:rsid w:val="009A2AAB"/>
    <w:rsid w:val="009A3F4B"/>
    <w:rsid w:val="009A4C27"/>
    <w:rsid w:val="009A69A3"/>
    <w:rsid w:val="009A745E"/>
    <w:rsid w:val="009B459F"/>
    <w:rsid w:val="009C3B5A"/>
    <w:rsid w:val="009C69BC"/>
    <w:rsid w:val="009C7EBB"/>
    <w:rsid w:val="009D0E33"/>
    <w:rsid w:val="009D0ED4"/>
    <w:rsid w:val="009D2D0B"/>
    <w:rsid w:val="009D5461"/>
    <w:rsid w:val="009D629C"/>
    <w:rsid w:val="009D6ED8"/>
    <w:rsid w:val="009E1310"/>
    <w:rsid w:val="009E666D"/>
    <w:rsid w:val="009E66AE"/>
    <w:rsid w:val="009F106B"/>
    <w:rsid w:val="009F2D92"/>
    <w:rsid w:val="009F3A5D"/>
    <w:rsid w:val="009F7740"/>
    <w:rsid w:val="00A0021E"/>
    <w:rsid w:val="00A03F08"/>
    <w:rsid w:val="00A04614"/>
    <w:rsid w:val="00A049D6"/>
    <w:rsid w:val="00A05A4F"/>
    <w:rsid w:val="00A11CC9"/>
    <w:rsid w:val="00A11FE6"/>
    <w:rsid w:val="00A17D82"/>
    <w:rsid w:val="00A17EA0"/>
    <w:rsid w:val="00A21B4F"/>
    <w:rsid w:val="00A2229D"/>
    <w:rsid w:val="00A22B63"/>
    <w:rsid w:val="00A25E09"/>
    <w:rsid w:val="00A30A64"/>
    <w:rsid w:val="00A34D7A"/>
    <w:rsid w:val="00A34FB7"/>
    <w:rsid w:val="00A357C2"/>
    <w:rsid w:val="00A3590F"/>
    <w:rsid w:val="00A35BF0"/>
    <w:rsid w:val="00A35E35"/>
    <w:rsid w:val="00A36BC9"/>
    <w:rsid w:val="00A37BFA"/>
    <w:rsid w:val="00A402A1"/>
    <w:rsid w:val="00A404D7"/>
    <w:rsid w:val="00A500BE"/>
    <w:rsid w:val="00A50650"/>
    <w:rsid w:val="00A50D65"/>
    <w:rsid w:val="00A56B07"/>
    <w:rsid w:val="00A56C4D"/>
    <w:rsid w:val="00A6052F"/>
    <w:rsid w:val="00A6075D"/>
    <w:rsid w:val="00A60E0C"/>
    <w:rsid w:val="00A61E04"/>
    <w:rsid w:val="00A61F0D"/>
    <w:rsid w:val="00A6286F"/>
    <w:rsid w:val="00A6450E"/>
    <w:rsid w:val="00A6672D"/>
    <w:rsid w:val="00A66B72"/>
    <w:rsid w:val="00A67D11"/>
    <w:rsid w:val="00A70DED"/>
    <w:rsid w:val="00A730A4"/>
    <w:rsid w:val="00A80E1B"/>
    <w:rsid w:val="00A8141B"/>
    <w:rsid w:val="00A82181"/>
    <w:rsid w:val="00A83A7C"/>
    <w:rsid w:val="00A85593"/>
    <w:rsid w:val="00A85D36"/>
    <w:rsid w:val="00A91ECD"/>
    <w:rsid w:val="00A95509"/>
    <w:rsid w:val="00A95A08"/>
    <w:rsid w:val="00A95C02"/>
    <w:rsid w:val="00A9764E"/>
    <w:rsid w:val="00AA13BD"/>
    <w:rsid w:val="00AA6401"/>
    <w:rsid w:val="00AB1838"/>
    <w:rsid w:val="00AB1938"/>
    <w:rsid w:val="00AB27F2"/>
    <w:rsid w:val="00AB446A"/>
    <w:rsid w:val="00AB61E0"/>
    <w:rsid w:val="00AB6453"/>
    <w:rsid w:val="00AB6D48"/>
    <w:rsid w:val="00AC0691"/>
    <w:rsid w:val="00AC0ECF"/>
    <w:rsid w:val="00AC1AFB"/>
    <w:rsid w:val="00AC372B"/>
    <w:rsid w:val="00AC49E0"/>
    <w:rsid w:val="00AD080E"/>
    <w:rsid w:val="00AD0C8C"/>
    <w:rsid w:val="00AD5459"/>
    <w:rsid w:val="00AD5957"/>
    <w:rsid w:val="00AD664C"/>
    <w:rsid w:val="00AD77A9"/>
    <w:rsid w:val="00AD7DD2"/>
    <w:rsid w:val="00AE3A1C"/>
    <w:rsid w:val="00AE6F47"/>
    <w:rsid w:val="00AE7239"/>
    <w:rsid w:val="00AE7772"/>
    <w:rsid w:val="00AF0002"/>
    <w:rsid w:val="00AF0DA9"/>
    <w:rsid w:val="00AF2191"/>
    <w:rsid w:val="00AF2C12"/>
    <w:rsid w:val="00AF4DB4"/>
    <w:rsid w:val="00AF5303"/>
    <w:rsid w:val="00AF7D3C"/>
    <w:rsid w:val="00B003A4"/>
    <w:rsid w:val="00B00A25"/>
    <w:rsid w:val="00B0346D"/>
    <w:rsid w:val="00B05FFE"/>
    <w:rsid w:val="00B065D5"/>
    <w:rsid w:val="00B068DA"/>
    <w:rsid w:val="00B077CF"/>
    <w:rsid w:val="00B1116C"/>
    <w:rsid w:val="00B137B4"/>
    <w:rsid w:val="00B2490C"/>
    <w:rsid w:val="00B24A07"/>
    <w:rsid w:val="00B262B2"/>
    <w:rsid w:val="00B3586C"/>
    <w:rsid w:val="00B3586F"/>
    <w:rsid w:val="00B359F5"/>
    <w:rsid w:val="00B41FA2"/>
    <w:rsid w:val="00B46DBA"/>
    <w:rsid w:val="00B47165"/>
    <w:rsid w:val="00B4734F"/>
    <w:rsid w:val="00B475BF"/>
    <w:rsid w:val="00B518B3"/>
    <w:rsid w:val="00B54C2B"/>
    <w:rsid w:val="00B54E6F"/>
    <w:rsid w:val="00B60419"/>
    <w:rsid w:val="00B60892"/>
    <w:rsid w:val="00B63961"/>
    <w:rsid w:val="00B644B0"/>
    <w:rsid w:val="00B65106"/>
    <w:rsid w:val="00B65608"/>
    <w:rsid w:val="00B65C5D"/>
    <w:rsid w:val="00B666E8"/>
    <w:rsid w:val="00B704BC"/>
    <w:rsid w:val="00B7627F"/>
    <w:rsid w:val="00B7762B"/>
    <w:rsid w:val="00B802AC"/>
    <w:rsid w:val="00B80C8E"/>
    <w:rsid w:val="00B918D6"/>
    <w:rsid w:val="00B928AF"/>
    <w:rsid w:val="00B947ED"/>
    <w:rsid w:val="00B952C3"/>
    <w:rsid w:val="00B95745"/>
    <w:rsid w:val="00BA1FED"/>
    <w:rsid w:val="00BA342A"/>
    <w:rsid w:val="00BA4CE8"/>
    <w:rsid w:val="00BA52C0"/>
    <w:rsid w:val="00BA5D84"/>
    <w:rsid w:val="00BB37E4"/>
    <w:rsid w:val="00BD0DD9"/>
    <w:rsid w:val="00BD341B"/>
    <w:rsid w:val="00BD3DA8"/>
    <w:rsid w:val="00BD4BC3"/>
    <w:rsid w:val="00BD68DB"/>
    <w:rsid w:val="00BD6AF3"/>
    <w:rsid w:val="00BE3BD3"/>
    <w:rsid w:val="00BE7FC0"/>
    <w:rsid w:val="00BF0552"/>
    <w:rsid w:val="00BF08AD"/>
    <w:rsid w:val="00BF12E5"/>
    <w:rsid w:val="00BF24FE"/>
    <w:rsid w:val="00BF28EE"/>
    <w:rsid w:val="00BF542E"/>
    <w:rsid w:val="00BF62F9"/>
    <w:rsid w:val="00C00C90"/>
    <w:rsid w:val="00C025D4"/>
    <w:rsid w:val="00C047DD"/>
    <w:rsid w:val="00C04AA2"/>
    <w:rsid w:val="00C061DD"/>
    <w:rsid w:val="00C06327"/>
    <w:rsid w:val="00C116FF"/>
    <w:rsid w:val="00C12A10"/>
    <w:rsid w:val="00C176E9"/>
    <w:rsid w:val="00C20463"/>
    <w:rsid w:val="00C237AC"/>
    <w:rsid w:val="00C26C50"/>
    <w:rsid w:val="00C27352"/>
    <w:rsid w:val="00C33019"/>
    <w:rsid w:val="00C33F2A"/>
    <w:rsid w:val="00C36059"/>
    <w:rsid w:val="00C403BA"/>
    <w:rsid w:val="00C42F01"/>
    <w:rsid w:val="00C46B5E"/>
    <w:rsid w:val="00C46DDD"/>
    <w:rsid w:val="00C503F5"/>
    <w:rsid w:val="00C506EA"/>
    <w:rsid w:val="00C52282"/>
    <w:rsid w:val="00C5249F"/>
    <w:rsid w:val="00C53424"/>
    <w:rsid w:val="00C5457C"/>
    <w:rsid w:val="00C628BC"/>
    <w:rsid w:val="00C6366F"/>
    <w:rsid w:val="00C63762"/>
    <w:rsid w:val="00C64E0C"/>
    <w:rsid w:val="00C651CE"/>
    <w:rsid w:val="00C65C1F"/>
    <w:rsid w:val="00C7182C"/>
    <w:rsid w:val="00C71C37"/>
    <w:rsid w:val="00C722B5"/>
    <w:rsid w:val="00C73267"/>
    <w:rsid w:val="00C75168"/>
    <w:rsid w:val="00C772CA"/>
    <w:rsid w:val="00C847E0"/>
    <w:rsid w:val="00C85630"/>
    <w:rsid w:val="00C86652"/>
    <w:rsid w:val="00C86B17"/>
    <w:rsid w:val="00C9368B"/>
    <w:rsid w:val="00C95BDD"/>
    <w:rsid w:val="00C977EC"/>
    <w:rsid w:val="00CA03D8"/>
    <w:rsid w:val="00CA19B7"/>
    <w:rsid w:val="00CA48E0"/>
    <w:rsid w:val="00CA4E25"/>
    <w:rsid w:val="00CB0D1E"/>
    <w:rsid w:val="00CB2C40"/>
    <w:rsid w:val="00CB2CD3"/>
    <w:rsid w:val="00CB2DB5"/>
    <w:rsid w:val="00CB369D"/>
    <w:rsid w:val="00CB3728"/>
    <w:rsid w:val="00CB6549"/>
    <w:rsid w:val="00CB6FB3"/>
    <w:rsid w:val="00CB76AC"/>
    <w:rsid w:val="00CC42F3"/>
    <w:rsid w:val="00CC4C65"/>
    <w:rsid w:val="00CC578D"/>
    <w:rsid w:val="00CC6BC2"/>
    <w:rsid w:val="00CD0C9F"/>
    <w:rsid w:val="00CD26A6"/>
    <w:rsid w:val="00CD356C"/>
    <w:rsid w:val="00CD4E58"/>
    <w:rsid w:val="00CD6692"/>
    <w:rsid w:val="00CD784C"/>
    <w:rsid w:val="00CE10A1"/>
    <w:rsid w:val="00CE2CF3"/>
    <w:rsid w:val="00CE3669"/>
    <w:rsid w:val="00CE3831"/>
    <w:rsid w:val="00CE4BD6"/>
    <w:rsid w:val="00CE72A0"/>
    <w:rsid w:val="00CE72DD"/>
    <w:rsid w:val="00CF1134"/>
    <w:rsid w:val="00CF40A7"/>
    <w:rsid w:val="00CF41F7"/>
    <w:rsid w:val="00CF5809"/>
    <w:rsid w:val="00CF5E50"/>
    <w:rsid w:val="00CF6493"/>
    <w:rsid w:val="00D0034C"/>
    <w:rsid w:val="00D025FF"/>
    <w:rsid w:val="00D031DB"/>
    <w:rsid w:val="00D031F0"/>
    <w:rsid w:val="00D033C6"/>
    <w:rsid w:val="00D053C5"/>
    <w:rsid w:val="00D06E67"/>
    <w:rsid w:val="00D102B0"/>
    <w:rsid w:val="00D10720"/>
    <w:rsid w:val="00D114E4"/>
    <w:rsid w:val="00D11924"/>
    <w:rsid w:val="00D13102"/>
    <w:rsid w:val="00D2368E"/>
    <w:rsid w:val="00D30797"/>
    <w:rsid w:val="00D32969"/>
    <w:rsid w:val="00D33BE6"/>
    <w:rsid w:val="00D350EC"/>
    <w:rsid w:val="00D35285"/>
    <w:rsid w:val="00D408CF"/>
    <w:rsid w:val="00D40EE9"/>
    <w:rsid w:val="00D41E8E"/>
    <w:rsid w:val="00D41F90"/>
    <w:rsid w:val="00D4448F"/>
    <w:rsid w:val="00D44EBE"/>
    <w:rsid w:val="00D45BD0"/>
    <w:rsid w:val="00D46EF3"/>
    <w:rsid w:val="00D47EDB"/>
    <w:rsid w:val="00D53F1B"/>
    <w:rsid w:val="00D54DE0"/>
    <w:rsid w:val="00D56069"/>
    <w:rsid w:val="00D57FF0"/>
    <w:rsid w:val="00D611C3"/>
    <w:rsid w:val="00D61653"/>
    <w:rsid w:val="00D61B31"/>
    <w:rsid w:val="00D62E4E"/>
    <w:rsid w:val="00D634D8"/>
    <w:rsid w:val="00D65AEF"/>
    <w:rsid w:val="00D76B3C"/>
    <w:rsid w:val="00D8058E"/>
    <w:rsid w:val="00D840DE"/>
    <w:rsid w:val="00D84684"/>
    <w:rsid w:val="00D867B6"/>
    <w:rsid w:val="00D962FE"/>
    <w:rsid w:val="00D96EAC"/>
    <w:rsid w:val="00D97695"/>
    <w:rsid w:val="00D97C64"/>
    <w:rsid w:val="00DA0042"/>
    <w:rsid w:val="00DA0543"/>
    <w:rsid w:val="00DA238D"/>
    <w:rsid w:val="00DA321D"/>
    <w:rsid w:val="00DA7E09"/>
    <w:rsid w:val="00DB0F45"/>
    <w:rsid w:val="00DB0FFE"/>
    <w:rsid w:val="00DB1DB8"/>
    <w:rsid w:val="00DB3698"/>
    <w:rsid w:val="00DB3E83"/>
    <w:rsid w:val="00DC30D1"/>
    <w:rsid w:val="00DC385C"/>
    <w:rsid w:val="00DC4962"/>
    <w:rsid w:val="00DC5740"/>
    <w:rsid w:val="00DC5B54"/>
    <w:rsid w:val="00DC5E65"/>
    <w:rsid w:val="00DC68E1"/>
    <w:rsid w:val="00DD0AB3"/>
    <w:rsid w:val="00DD3436"/>
    <w:rsid w:val="00DE01AF"/>
    <w:rsid w:val="00DE2624"/>
    <w:rsid w:val="00DE4A5A"/>
    <w:rsid w:val="00DE5117"/>
    <w:rsid w:val="00DF195F"/>
    <w:rsid w:val="00DF1B4D"/>
    <w:rsid w:val="00DF494B"/>
    <w:rsid w:val="00DF4EF9"/>
    <w:rsid w:val="00DF6665"/>
    <w:rsid w:val="00E00511"/>
    <w:rsid w:val="00E00BB5"/>
    <w:rsid w:val="00E01765"/>
    <w:rsid w:val="00E01929"/>
    <w:rsid w:val="00E01E34"/>
    <w:rsid w:val="00E02650"/>
    <w:rsid w:val="00E0504B"/>
    <w:rsid w:val="00E0680E"/>
    <w:rsid w:val="00E07718"/>
    <w:rsid w:val="00E07959"/>
    <w:rsid w:val="00E12A00"/>
    <w:rsid w:val="00E12EE7"/>
    <w:rsid w:val="00E1532E"/>
    <w:rsid w:val="00E1571A"/>
    <w:rsid w:val="00E15BD0"/>
    <w:rsid w:val="00E1692A"/>
    <w:rsid w:val="00E16FEF"/>
    <w:rsid w:val="00E2394C"/>
    <w:rsid w:val="00E24BA8"/>
    <w:rsid w:val="00E264EA"/>
    <w:rsid w:val="00E30FFD"/>
    <w:rsid w:val="00E31D89"/>
    <w:rsid w:val="00E325A1"/>
    <w:rsid w:val="00E33F9A"/>
    <w:rsid w:val="00E343E8"/>
    <w:rsid w:val="00E35770"/>
    <w:rsid w:val="00E40351"/>
    <w:rsid w:val="00E41736"/>
    <w:rsid w:val="00E42A95"/>
    <w:rsid w:val="00E433F5"/>
    <w:rsid w:val="00E434E6"/>
    <w:rsid w:val="00E446F5"/>
    <w:rsid w:val="00E51072"/>
    <w:rsid w:val="00E535D0"/>
    <w:rsid w:val="00E53E6B"/>
    <w:rsid w:val="00E54426"/>
    <w:rsid w:val="00E55358"/>
    <w:rsid w:val="00E56D27"/>
    <w:rsid w:val="00E61633"/>
    <w:rsid w:val="00E61F30"/>
    <w:rsid w:val="00E62312"/>
    <w:rsid w:val="00E6278D"/>
    <w:rsid w:val="00E75948"/>
    <w:rsid w:val="00E7628E"/>
    <w:rsid w:val="00E80581"/>
    <w:rsid w:val="00E80E3C"/>
    <w:rsid w:val="00E81F5C"/>
    <w:rsid w:val="00E83C24"/>
    <w:rsid w:val="00E8448C"/>
    <w:rsid w:val="00E85774"/>
    <w:rsid w:val="00E9178F"/>
    <w:rsid w:val="00E9718F"/>
    <w:rsid w:val="00EA013F"/>
    <w:rsid w:val="00EA06EC"/>
    <w:rsid w:val="00EA0AA9"/>
    <w:rsid w:val="00EA2B53"/>
    <w:rsid w:val="00EA31C2"/>
    <w:rsid w:val="00EA3CA7"/>
    <w:rsid w:val="00EA4C48"/>
    <w:rsid w:val="00EA73D7"/>
    <w:rsid w:val="00EA7D7F"/>
    <w:rsid w:val="00EB1E49"/>
    <w:rsid w:val="00EB236F"/>
    <w:rsid w:val="00EB2BB2"/>
    <w:rsid w:val="00EB6949"/>
    <w:rsid w:val="00EB75EA"/>
    <w:rsid w:val="00EC0AE0"/>
    <w:rsid w:val="00EC4DCD"/>
    <w:rsid w:val="00EC627F"/>
    <w:rsid w:val="00EC6F19"/>
    <w:rsid w:val="00ED2E2B"/>
    <w:rsid w:val="00ED2ECA"/>
    <w:rsid w:val="00ED302C"/>
    <w:rsid w:val="00EE045A"/>
    <w:rsid w:val="00EE0ED0"/>
    <w:rsid w:val="00EE2AA3"/>
    <w:rsid w:val="00EF3319"/>
    <w:rsid w:val="00EF51CF"/>
    <w:rsid w:val="00F0013D"/>
    <w:rsid w:val="00F031CC"/>
    <w:rsid w:val="00F04938"/>
    <w:rsid w:val="00F0569C"/>
    <w:rsid w:val="00F0795A"/>
    <w:rsid w:val="00F10174"/>
    <w:rsid w:val="00F10929"/>
    <w:rsid w:val="00F1125D"/>
    <w:rsid w:val="00F1378C"/>
    <w:rsid w:val="00F13B95"/>
    <w:rsid w:val="00F14A9D"/>
    <w:rsid w:val="00F15CF7"/>
    <w:rsid w:val="00F26838"/>
    <w:rsid w:val="00F26B7C"/>
    <w:rsid w:val="00F27E16"/>
    <w:rsid w:val="00F32FFD"/>
    <w:rsid w:val="00F33F29"/>
    <w:rsid w:val="00F343A7"/>
    <w:rsid w:val="00F354D1"/>
    <w:rsid w:val="00F3551C"/>
    <w:rsid w:val="00F41A4A"/>
    <w:rsid w:val="00F46148"/>
    <w:rsid w:val="00F471D6"/>
    <w:rsid w:val="00F47524"/>
    <w:rsid w:val="00F52FF8"/>
    <w:rsid w:val="00F54CCE"/>
    <w:rsid w:val="00F55214"/>
    <w:rsid w:val="00F56CCB"/>
    <w:rsid w:val="00F61BC1"/>
    <w:rsid w:val="00F67782"/>
    <w:rsid w:val="00F67ECF"/>
    <w:rsid w:val="00F708A6"/>
    <w:rsid w:val="00F71D96"/>
    <w:rsid w:val="00F722BA"/>
    <w:rsid w:val="00F74611"/>
    <w:rsid w:val="00F74678"/>
    <w:rsid w:val="00F77549"/>
    <w:rsid w:val="00F808FF"/>
    <w:rsid w:val="00F83A6F"/>
    <w:rsid w:val="00F845F4"/>
    <w:rsid w:val="00F86863"/>
    <w:rsid w:val="00F910D5"/>
    <w:rsid w:val="00F9220F"/>
    <w:rsid w:val="00F930FD"/>
    <w:rsid w:val="00F94199"/>
    <w:rsid w:val="00F94DDD"/>
    <w:rsid w:val="00F962FD"/>
    <w:rsid w:val="00F96CFF"/>
    <w:rsid w:val="00F97E7B"/>
    <w:rsid w:val="00FA265D"/>
    <w:rsid w:val="00FA2BC8"/>
    <w:rsid w:val="00FA3F1D"/>
    <w:rsid w:val="00FA453F"/>
    <w:rsid w:val="00FA5311"/>
    <w:rsid w:val="00FA5AB3"/>
    <w:rsid w:val="00FA73B6"/>
    <w:rsid w:val="00FA7F1D"/>
    <w:rsid w:val="00FB0441"/>
    <w:rsid w:val="00FB25D3"/>
    <w:rsid w:val="00FC01F8"/>
    <w:rsid w:val="00FC2F80"/>
    <w:rsid w:val="00FC4E61"/>
    <w:rsid w:val="00FC63B6"/>
    <w:rsid w:val="00FC6912"/>
    <w:rsid w:val="00FC7F03"/>
    <w:rsid w:val="00FD1290"/>
    <w:rsid w:val="00FD3438"/>
    <w:rsid w:val="00FD34FA"/>
    <w:rsid w:val="00FD457E"/>
    <w:rsid w:val="00FD674C"/>
    <w:rsid w:val="00FD74D6"/>
    <w:rsid w:val="00FE0078"/>
    <w:rsid w:val="00FE10AF"/>
    <w:rsid w:val="00FE229F"/>
    <w:rsid w:val="00FE4EB7"/>
    <w:rsid w:val="00FE56FD"/>
    <w:rsid w:val="00FE716E"/>
    <w:rsid w:val="00FF0FE0"/>
    <w:rsid w:val="00FF1DED"/>
    <w:rsid w:val="00FF227E"/>
    <w:rsid w:val="00FF303E"/>
    <w:rsid w:val="00FF5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uiPriority="20"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uiPriority w:val="20"/>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B6549"/>
    <w:pPr>
      <w:numPr>
        <w:numId w:val="39"/>
      </w:numPr>
      <w:ind w:left="357" w:hanging="357"/>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FootnoteBullet">
    <w:name w:val="Footnote Bullet"/>
    <w:basedOn w:val="FootnoteText"/>
    <w:qFormat/>
    <w:rsid w:val="00951A63"/>
    <w:pPr>
      <w:numPr>
        <w:numId w:val="48"/>
      </w:numPr>
      <w:tabs>
        <w:tab w:val="left" w:pos="567"/>
      </w:tabs>
      <w:spacing w:after="0" w:line="260" w:lineRule="atLeast"/>
      <w:ind w:left="284" w:hanging="114"/>
    </w:pPr>
    <w:rPr>
      <w:rFonts w:ascii="Arial" w:hAnsi="Arial"/>
      <w:color w:val="1C1C1C"/>
      <w:spacing w:val="-3"/>
      <w:sz w:val="1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uiPriority="20"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uiPriority w:val="20"/>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B6549"/>
    <w:pPr>
      <w:numPr>
        <w:numId w:val="39"/>
      </w:numPr>
      <w:ind w:left="357" w:hanging="357"/>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FootnoteBullet">
    <w:name w:val="Footnote Bullet"/>
    <w:basedOn w:val="FootnoteText"/>
    <w:qFormat/>
    <w:rsid w:val="00951A63"/>
    <w:pPr>
      <w:numPr>
        <w:numId w:val="48"/>
      </w:numPr>
      <w:tabs>
        <w:tab w:val="left" w:pos="567"/>
      </w:tabs>
      <w:spacing w:after="0" w:line="260" w:lineRule="atLeast"/>
      <w:ind w:left="284" w:hanging="114"/>
    </w:pPr>
    <w:rPr>
      <w:rFonts w:ascii="Arial" w:hAnsi="Arial"/>
      <w:color w:val="1C1C1C"/>
      <w:spacing w:val="-3"/>
      <w:sz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sc.vic.gov.au/resources/welcome-to-the-board/" TargetMode="External"/><Relationship Id="rId18" Type="http://schemas.openxmlformats.org/officeDocument/2006/relationships/hyperlink" Target="http://www.depi.vic.gov.au/about-us/boards-and-governance/on-board-governance-guides-and-resources/induction-and-continuing-education"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vpsc.vic.gov.au/resources/code-of-conduct-for-directors/"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psc.vic.gov.au/resources/code-of-conduct-for-directors/" TargetMode="External"/><Relationship Id="rId20" Type="http://schemas.openxmlformats.org/officeDocument/2006/relationships/hyperlink" Target="http://eepurl.com/bfeumr"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lwp.vic.gov.au/onboar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lwp.vic.gov.au/onboard" TargetMode="External"/><Relationship Id="rId23" Type="http://schemas.openxmlformats.org/officeDocument/2006/relationships/hyperlink" Target="http://www.delwp.vic.gov.au" TargetMode="External"/><Relationship Id="rId28"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hyperlink" Target="http://www.delwp.vic.gov.au/onboard"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pi.vic.gov.au/about-us/boards-and-governance/on-board-governance-guides-and-resources/governance-essentials" TargetMode="External"/><Relationship Id="rId22" Type="http://schemas.openxmlformats.org/officeDocument/2006/relationships/hyperlink" Target="http://www.relayservice.com.au" TargetMode="External"/><Relationship Id="rId27" Type="http://schemas.openxmlformats.org/officeDocument/2006/relationships/hyperlink" Target="mailto:customer.service@delwp.vic.gov.au" TargetMode="External"/><Relationship Id="rId30" Type="http://schemas.openxmlformats.org/officeDocument/2006/relationships/hyperlink" Target="http://www.delwp.vic.gov.au/onbo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2A76-4D53-4D87-9861-7E077797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1117</Words>
  <Characters>6854</Characters>
  <Application>Microsoft Office Word</Application>
  <DocSecurity>0</DocSecurity>
  <Lines>236</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2017-02-26T09:22:00Z</dcterms:created>
  <dcterms:modified xsi:type="dcterms:W3CDTF">2017-02-26T09:24:00Z</dcterms:modified>
</cp:coreProperties>
</file>