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08" w:rsidRPr="00E11CAF" w:rsidRDefault="00413619" w:rsidP="003F10B1">
      <w:pPr>
        <w:pStyle w:val="HA"/>
        <w:spacing w:after="500"/>
      </w:pPr>
      <w:bookmarkStart w:id="0" w:name="_Toc380503657"/>
      <w:bookmarkStart w:id="1" w:name="_Toc382289725"/>
      <w:bookmarkStart w:id="2" w:name="_GoBack"/>
      <w:bookmarkEnd w:id="2"/>
      <w:r>
        <w:t>11</w:t>
      </w:r>
      <w:r w:rsidR="00246208" w:rsidRPr="00E11CAF">
        <w:t xml:space="preserve">. </w:t>
      </w:r>
      <w:r w:rsidR="00C5376C">
        <w:t xml:space="preserve"> </w:t>
      </w:r>
      <w:r w:rsidR="00246208" w:rsidRPr="00E11CAF">
        <w:t>Insurance</w:t>
      </w:r>
      <w:bookmarkEnd w:id="0"/>
      <w:bookmarkEnd w:id="1"/>
    </w:p>
    <w:p w:rsidR="007A6D47" w:rsidRDefault="00BD0210" w:rsidP="003F10B1">
      <w:pPr>
        <w:pStyle w:val="Pullout"/>
        <w:spacing w:before="0"/>
      </w:pPr>
      <w:r>
        <w:t>This chapter looks at</w:t>
      </w:r>
      <w:r w:rsidR="004F78F9">
        <w:t>:</w:t>
      </w:r>
      <w:r>
        <w:t xml:space="preserve"> </w:t>
      </w:r>
    </w:p>
    <w:p w:rsidR="004F78F9" w:rsidRPr="00131476" w:rsidRDefault="0008474A" w:rsidP="00131476">
      <w:pPr>
        <w:pStyle w:val="Bullet"/>
        <w:ind w:left="284" w:hanging="284"/>
      </w:pPr>
      <w:r w:rsidRPr="00131476">
        <w:t xml:space="preserve">types of </w:t>
      </w:r>
      <w:r w:rsidR="00BD0210" w:rsidRPr="00131476">
        <w:t xml:space="preserve">insurance cover provided for </w:t>
      </w:r>
      <w:r w:rsidRPr="00131476">
        <w:t xml:space="preserve">the </w:t>
      </w:r>
      <w:r w:rsidR="00BD0210" w:rsidRPr="00131476">
        <w:t>committee</w:t>
      </w:r>
      <w:r w:rsidRPr="00131476">
        <w:t xml:space="preserve"> by DELWP</w:t>
      </w:r>
    </w:p>
    <w:p w:rsidR="0008474A" w:rsidRPr="00131476" w:rsidRDefault="0008474A" w:rsidP="00131476">
      <w:pPr>
        <w:pStyle w:val="Bullet"/>
        <w:ind w:left="284" w:hanging="284"/>
      </w:pPr>
      <w:r w:rsidRPr="00131476">
        <w:t>groups not covered under this insurance</w:t>
      </w:r>
    </w:p>
    <w:p w:rsidR="004F78F9" w:rsidRPr="00131476" w:rsidRDefault="007A6D47" w:rsidP="00131476">
      <w:pPr>
        <w:pStyle w:val="Bullet"/>
        <w:ind w:left="284" w:hanging="284"/>
      </w:pPr>
      <w:r w:rsidRPr="00131476">
        <w:t>insurance the committee may need to purchase</w:t>
      </w:r>
    </w:p>
    <w:p w:rsidR="007A6D47" w:rsidRPr="00131476" w:rsidRDefault="004F78F9" w:rsidP="00131476">
      <w:pPr>
        <w:pStyle w:val="Bullet"/>
        <w:ind w:left="284" w:hanging="284"/>
      </w:pPr>
      <w:r w:rsidRPr="00131476">
        <w:t>incidents and claims</w:t>
      </w:r>
      <w:r w:rsidR="002E14D6" w:rsidRPr="00131476">
        <w:t>.</w:t>
      </w:r>
    </w:p>
    <w:p w:rsidR="00246208" w:rsidRDefault="00DD1751" w:rsidP="00DD1751">
      <w:pPr>
        <w:pStyle w:val="Heading2"/>
        <w:spacing w:before="400"/>
      </w:pPr>
      <w:bookmarkStart w:id="3" w:name="_Toc380503658"/>
      <w:bookmarkStart w:id="4" w:name="_Toc382289726"/>
      <w:r>
        <w:t>11.1</w:t>
      </w:r>
      <w:r>
        <w:tab/>
      </w:r>
      <w:r w:rsidR="00AD43CC">
        <w:t>DELWP</w:t>
      </w:r>
      <w:r w:rsidR="00246208">
        <w:t>’s insurance cover for c</w:t>
      </w:r>
      <w:r w:rsidR="00246208" w:rsidRPr="00BB26C4">
        <w:t xml:space="preserve">ommittees of </w:t>
      </w:r>
      <w:r w:rsidR="00246208">
        <w:t>m</w:t>
      </w:r>
      <w:r w:rsidR="00246208" w:rsidRPr="00BB26C4">
        <w:t>anagement</w:t>
      </w:r>
      <w:bookmarkEnd w:id="3"/>
      <w:bookmarkEnd w:id="4"/>
    </w:p>
    <w:p w:rsidR="00BD0210" w:rsidRDefault="00BD0210" w:rsidP="00BD0210">
      <w:r>
        <w:t>DELWP provides public liability, professional indemnity and personal accident insurance for Committees of Management of Crown land reserves. Committees do not need to purchase these types of insurance policies.</w:t>
      </w:r>
    </w:p>
    <w:p w:rsidR="00246208" w:rsidRDefault="00246208" w:rsidP="007C519A">
      <w:pPr>
        <w:pStyle w:val="Body"/>
        <w:spacing w:after="200"/>
      </w:pPr>
      <w:r>
        <w:t xml:space="preserve">The table below shows the cover </w:t>
      </w:r>
      <w:r w:rsidR="00AD43CC">
        <w:t>DELWP</w:t>
      </w:r>
      <w:r>
        <w:t xml:space="preserve">'s insurance policy provides to committees of management. Certificates of currency for these policies can be obtained from </w:t>
      </w:r>
      <w:r w:rsidR="00AD43CC">
        <w:t>DELWP</w:t>
      </w:r>
      <w:r>
        <w:t>. Certificates are issued from 30 June each year, though they may not be immediately available from this da</w:t>
      </w:r>
      <w:r w:rsidR="007C519A">
        <w:t>te, and are valid for one year.</w:t>
      </w:r>
    </w:p>
    <w:tbl>
      <w:tblPr>
        <w:tblStyle w:val="DSETable"/>
        <w:tblW w:w="9611" w:type="dxa"/>
        <w:tblLook w:val="04A0" w:firstRow="1" w:lastRow="0" w:firstColumn="1" w:lastColumn="0" w:noHBand="0" w:noVBand="1"/>
      </w:tblPr>
      <w:tblGrid>
        <w:gridCol w:w="2977"/>
        <w:gridCol w:w="4366"/>
        <w:gridCol w:w="2268"/>
      </w:tblGrid>
      <w:tr w:rsidR="00246208" w:rsidTr="00DD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46208" w:rsidRPr="00231F7D" w:rsidRDefault="00246208" w:rsidP="00226F9B">
            <w:pPr>
              <w:pStyle w:val="Body"/>
              <w:rPr>
                <w:b/>
              </w:rPr>
            </w:pPr>
            <w:r w:rsidRPr="00231F7D">
              <w:rPr>
                <w:b/>
              </w:rPr>
              <w:t>Insurance</w:t>
            </w:r>
          </w:p>
        </w:tc>
        <w:tc>
          <w:tcPr>
            <w:tcW w:w="4366" w:type="dxa"/>
          </w:tcPr>
          <w:p w:rsidR="00246208" w:rsidRPr="00231F7D" w:rsidRDefault="00246208" w:rsidP="00226F9B">
            <w:pPr>
              <w:pStyle w:val="Body"/>
              <w:cnfStyle w:val="100000000000" w:firstRow="1" w:lastRow="0" w:firstColumn="0" w:lastColumn="0" w:oddVBand="0" w:evenVBand="0" w:oddHBand="0" w:evenHBand="0" w:firstRowFirstColumn="0" w:firstRowLastColumn="0" w:lastRowFirstColumn="0" w:lastRowLastColumn="0"/>
              <w:rPr>
                <w:b/>
              </w:rPr>
            </w:pPr>
            <w:r w:rsidRPr="00231F7D">
              <w:rPr>
                <w:b/>
              </w:rPr>
              <w:t>Description</w:t>
            </w:r>
          </w:p>
        </w:tc>
        <w:tc>
          <w:tcPr>
            <w:tcW w:w="2268" w:type="dxa"/>
          </w:tcPr>
          <w:p w:rsidR="00246208" w:rsidRPr="00231F7D" w:rsidRDefault="00246208" w:rsidP="00226F9B">
            <w:pPr>
              <w:pStyle w:val="Body"/>
              <w:cnfStyle w:val="100000000000" w:firstRow="1" w:lastRow="0" w:firstColumn="0" w:lastColumn="0" w:oddVBand="0" w:evenVBand="0" w:oddHBand="0" w:evenHBand="0" w:firstRowFirstColumn="0" w:firstRowLastColumn="0" w:lastRowFirstColumn="0" w:lastRowLastColumn="0"/>
              <w:rPr>
                <w:b/>
              </w:rPr>
            </w:pPr>
            <w:r w:rsidRPr="00231F7D">
              <w:rPr>
                <w:b/>
              </w:rPr>
              <w:t>Covers</w:t>
            </w:r>
          </w:p>
        </w:tc>
      </w:tr>
      <w:tr w:rsidR="00246208" w:rsidTr="00DD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46208" w:rsidRPr="00231F7D" w:rsidRDefault="00246208" w:rsidP="00226F9B">
            <w:pPr>
              <w:pStyle w:val="Body"/>
              <w:rPr>
                <w:b/>
              </w:rPr>
            </w:pPr>
            <w:r w:rsidRPr="00231F7D">
              <w:rPr>
                <w:b/>
              </w:rPr>
              <w:t xml:space="preserve">Public and product liability </w:t>
            </w:r>
          </w:p>
        </w:tc>
        <w:tc>
          <w:tcPr>
            <w:tcW w:w="4366" w:type="dxa"/>
          </w:tcPr>
          <w:p w:rsidR="00246208" w:rsidRDefault="00246208" w:rsidP="00226F9B">
            <w:pPr>
              <w:pStyle w:val="Body"/>
              <w:cnfStyle w:val="000000100000" w:firstRow="0" w:lastRow="0" w:firstColumn="0" w:lastColumn="0" w:oddVBand="0" w:evenVBand="0" w:oddHBand="1" w:evenHBand="0" w:firstRowFirstColumn="0" w:firstRowLastColumn="0" w:lastRowFirstColumn="0" w:lastRowLastColumn="0"/>
            </w:pPr>
            <w:r>
              <w:t>C</w:t>
            </w:r>
            <w:r w:rsidRPr="004D55DD">
              <w:t>over against legal liabilities for injury or loss to third parties (members of the public and others)</w:t>
            </w:r>
          </w:p>
        </w:tc>
        <w:tc>
          <w:tcPr>
            <w:tcW w:w="2268" w:type="dxa"/>
          </w:tcPr>
          <w:p w:rsidR="00246208" w:rsidRDefault="00246208" w:rsidP="00226F9B">
            <w:pPr>
              <w:pStyle w:val="Body"/>
              <w:cnfStyle w:val="000000100000" w:firstRow="0" w:lastRow="0" w:firstColumn="0" w:lastColumn="0" w:oddVBand="0" w:evenVBand="0" w:oddHBand="1" w:evenHBand="0" w:firstRowFirstColumn="0" w:firstRowLastColumn="0" w:lastRowFirstColumn="0" w:lastRowLastColumn="0"/>
            </w:pPr>
            <w:r>
              <w:t>Committee of management</w:t>
            </w:r>
          </w:p>
          <w:p w:rsidR="00246208" w:rsidRDefault="00246208" w:rsidP="00226F9B">
            <w:pPr>
              <w:pStyle w:val="DEPINormal"/>
              <w:cnfStyle w:val="000000100000" w:firstRow="0" w:lastRow="0" w:firstColumn="0" w:lastColumn="0" w:oddVBand="0" w:evenVBand="0" w:oddHBand="1" w:evenHBand="0" w:firstRowFirstColumn="0" w:firstRowLastColumn="0" w:lastRowFirstColumn="0" w:lastRowLastColumn="0"/>
            </w:pPr>
          </w:p>
        </w:tc>
      </w:tr>
      <w:tr w:rsidR="00246208" w:rsidTr="00DD17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46208" w:rsidRPr="00231F7D" w:rsidRDefault="00246208" w:rsidP="00226F9B">
            <w:pPr>
              <w:pStyle w:val="Body"/>
              <w:rPr>
                <w:b/>
              </w:rPr>
            </w:pPr>
            <w:r w:rsidRPr="00231F7D">
              <w:rPr>
                <w:b/>
              </w:rPr>
              <w:t>Professional indemnity</w:t>
            </w:r>
          </w:p>
        </w:tc>
        <w:tc>
          <w:tcPr>
            <w:tcW w:w="4366" w:type="dxa"/>
          </w:tcPr>
          <w:p w:rsidR="00246208" w:rsidRDefault="00246208" w:rsidP="00226F9B">
            <w:pPr>
              <w:pStyle w:val="Body"/>
              <w:cnfStyle w:val="000000010000" w:firstRow="0" w:lastRow="0" w:firstColumn="0" w:lastColumn="0" w:oddVBand="0" w:evenVBand="0" w:oddHBand="0" w:evenHBand="1" w:firstRowFirstColumn="0" w:firstRowLastColumn="0" w:lastRowFirstColumn="0" w:lastRowLastColumn="0"/>
            </w:pPr>
            <w:r>
              <w:t>C</w:t>
            </w:r>
            <w:r w:rsidRPr="004D55DD">
              <w:t>over to protect committee members from claims of breach of 'professional duty</w:t>
            </w:r>
            <w:r>
              <w:t>’</w:t>
            </w:r>
            <w:r w:rsidRPr="004D55DD">
              <w:t xml:space="preserve"> alleged to have been made in the conduc</w:t>
            </w:r>
            <w:r>
              <w:t>t of the committee's activities</w:t>
            </w:r>
          </w:p>
        </w:tc>
        <w:tc>
          <w:tcPr>
            <w:tcW w:w="2268" w:type="dxa"/>
          </w:tcPr>
          <w:p w:rsidR="00246208" w:rsidRDefault="00246208" w:rsidP="00226F9B">
            <w:pPr>
              <w:pStyle w:val="Body"/>
              <w:cnfStyle w:val="000000010000" w:firstRow="0" w:lastRow="0" w:firstColumn="0" w:lastColumn="0" w:oddVBand="0" w:evenVBand="0" w:oddHBand="0" w:evenHBand="1" w:firstRowFirstColumn="0" w:firstRowLastColumn="0" w:lastRowFirstColumn="0" w:lastRowLastColumn="0"/>
            </w:pPr>
            <w:r>
              <w:t>Committee of management</w:t>
            </w:r>
          </w:p>
        </w:tc>
      </w:tr>
      <w:tr w:rsidR="00246208" w:rsidTr="00DD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246208" w:rsidRPr="00231F7D" w:rsidRDefault="00246208" w:rsidP="00226F9B">
            <w:pPr>
              <w:pStyle w:val="Body"/>
              <w:rPr>
                <w:b/>
              </w:rPr>
            </w:pPr>
            <w:r w:rsidRPr="00231F7D">
              <w:rPr>
                <w:b/>
              </w:rPr>
              <w:t>Group personal accident</w:t>
            </w:r>
          </w:p>
        </w:tc>
        <w:tc>
          <w:tcPr>
            <w:tcW w:w="4366" w:type="dxa"/>
          </w:tcPr>
          <w:p w:rsidR="00246208" w:rsidRDefault="00246208" w:rsidP="00226F9B">
            <w:pPr>
              <w:pStyle w:val="Body"/>
              <w:cnfStyle w:val="000000100000" w:firstRow="0" w:lastRow="0" w:firstColumn="0" w:lastColumn="0" w:oddVBand="0" w:evenVBand="0" w:oddHBand="1" w:evenHBand="0" w:firstRowFirstColumn="0" w:firstRowLastColumn="0" w:lastRowFirstColumn="0" w:lastRowLastColumn="0"/>
            </w:pPr>
            <w:r>
              <w:t>Cover for</w:t>
            </w:r>
            <w:r w:rsidRPr="004D55DD">
              <w:t xml:space="preserve"> a volunteer (including a committee member)</w:t>
            </w:r>
            <w:r>
              <w:t xml:space="preserve"> who is injured while e</w:t>
            </w:r>
            <w:r w:rsidRPr="004D55DD">
              <w:t>ngaged in voluntary activities organised or authorised by or under the control of a committee of management.</w:t>
            </w:r>
          </w:p>
        </w:tc>
        <w:tc>
          <w:tcPr>
            <w:tcW w:w="2268" w:type="dxa"/>
          </w:tcPr>
          <w:p w:rsidR="00246208" w:rsidRPr="00AA3392" w:rsidRDefault="00246208" w:rsidP="00226F9B">
            <w:pPr>
              <w:pStyle w:val="Body"/>
              <w:cnfStyle w:val="000000100000" w:firstRow="0" w:lastRow="0" w:firstColumn="0" w:lastColumn="0" w:oddVBand="0" w:evenVBand="0" w:oddHBand="1" w:evenHBand="0" w:firstRowFirstColumn="0" w:firstRowLastColumn="0" w:lastRowFirstColumn="0" w:lastRowLastColumn="0"/>
              <w:rPr>
                <w:strike/>
              </w:rPr>
            </w:pPr>
            <w:r>
              <w:t xml:space="preserve">All authorised volunteers including committee members </w:t>
            </w:r>
          </w:p>
        </w:tc>
      </w:tr>
    </w:tbl>
    <w:p w:rsidR="00246208" w:rsidRPr="00BB26C4" w:rsidRDefault="00246208" w:rsidP="000C0CD0">
      <w:pPr>
        <w:pStyle w:val="HB"/>
      </w:pPr>
      <w:bookmarkStart w:id="5" w:name="_Toc380503659"/>
      <w:bookmarkStart w:id="6" w:name="_Toc382289727"/>
      <w:r>
        <w:t>Personal accident</w:t>
      </w:r>
      <w:r w:rsidRPr="00BB26C4">
        <w:t xml:space="preserve"> </w:t>
      </w:r>
      <w:r>
        <w:t>i</w:t>
      </w:r>
      <w:r w:rsidRPr="00BB26C4">
        <w:t>nsurance</w:t>
      </w:r>
      <w:bookmarkEnd w:id="5"/>
      <w:bookmarkEnd w:id="6"/>
      <w:r w:rsidR="00D612AF">
        <w:t xml:space="preserve"> (volunteers)</w:t>
      </w:r>
    </w:p>
    <w:p w:rsidR="00246208" w:rsidRDefault="00AD43CC" w:rsidP="00246208">
      <w:pPr>
        <w:pStyle w:val="Body"/>
      </w:pPr>
      <w:r>
        <w:t>DELWP</w:t>
      </w:r>
      <w:r w:rsidR="00246208">
        <w:t xml:space="preserve">'s personal accident insurance covers individual volunteer activities for a purpose directly connected to the purpose of the reserve and authorised by the committee. </w:t>
      </w:r>
    </w:p>
    <w:p w:rsidR="00246208" w:rsidRDefault="00246208" w:rsidP="00246208">
      <w:pPr>
        <w:pStyle w:val="Body"/>
      </w:pPr>
      <w:r>
        <w:t>The committee must maintain records of who volunteered and when and the nature of the activity. See below for an example of a volunteer attendance register.</w:t>
      </w:r>
      <w:r>
        <w:fldChar w:fldCharType="begin"/>
      </w:r>
      <w:r>
        <w:instrText xml:space="preserve"> </w:instrText>
      </w:r>
      <w:r>
        <w:fldChar w:fldCharType="begin"/>
      </w:r>
      <w:r>
        <w:instrText xml:space="preserve">  </w:instrText>
      </w:r>
      <w:r>
        <w:fldChar w:fldCharType="end"/>
      </w:r>
      <w:r>
        <w:instrText xml:space="preserve"> </w:instrText>
      </w:r>
      <w:r>
        <w:fldChar w:fldCharType="end"/>
      </w:r>
    </w:p>
    <w:p w:rsidR="008A2809" w:rsidRPr="008A2809" w:rsidRDefault="00246208" w:rsidP="008A2809">
      <w:pPr>
        <w:pStyle w:val="HC"/>
        <w:spacing w:after="120"/>
      </w:pPr>
      <w:bookmarkStart w:id="7" w:name="_Toc380503660"/>
      <w:bookmarkStart w:id="8" w:name="_Toc382289728"/>
      <w:r w:rsidRPr="000C0CD0">
        <w:t>Example volunteer attendance register</w:t>
      </w:r>
      <w:bookmarkEnd w:id="7"/>
      <w:bookmarkEnd w:id="8"/>
    </w:p>
    <w:tbl>
      <w:tblPr>
        <w:tblStyle w:val="LightList"/>
        <w:tblW w:w="963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1183"/>
        <w:gridCol w:w="946"/>
        <w:gridCol w:w="779"/>
        <w:gridCol w:w="1157"/>
        <w:gridCol w:w="2231"/>
        <w:gridCol w:w="2526"/>
      </w:tblGrid>
      <w:tr w:rsidR="00246208" w:rsidRPr="00231F7D" w:rsidTr="00D757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AEEF3" w:themeFill="accent5" w:themeFillTint="33"/>
          </w:tcPr>
          <w:p w:rsidR="00246208" w:rsidRPr="00390577" w:rsidRDefault="00246208" w:rsidP="00226F9B">
            <w:pPr>
              <w:pStyle w:val="Body"/>
              <w:rPr>
                <w:b w:val="0"/>
                <w:bCs w:val="0"/>
                <w:color w:val="auto"/>
                <w:sz w:val="16"/>
                <w:szCs w:val="16"/>
              </w:rPr>
            </w:pPr>
            <w:r w:rsidRPr="00390577">
              <w:rPr>
                <w:color w:val="auto"/>
                <w:sz w:val="16"/>
                <w:szCs w:val="16"/>
              </w:rPr>
              <w:t>Date</w:t>
            </w:r>
          </w:p>
        </w:tc>
        <w:tc>
          <w:tcPr>
            <w:tcW w:w="1183" w:type="dxa"/>
            <w:shd w:val="clear" w:color="auto" w:fill="DAEEF3" w:themeFill="accent5" w:themeFillTint="33"/>
          </w:tcPr>
          <w:p w:rsidR="00246208" w:rsidRPr="00390577" w:rsidRDefault="00246208" w:rsidP="00226F9B">
            <w:pPr>
              <w:pStyle w:val="Body"/>
              <w:cnfStyle w:val="100000000000" w:firstRow="1" w:lastRow="0" w:firstColumn="0" w:lastColumn="0" w:oddVBand="0" w:evenVBand="0" w:oddHBand="0" w:evenHBand="0" w:firstRowFirstColumn="0" w:firstRowLastColumn="0" w:lastRowFirstColumn="0" w:lastRowLastColumn="0"/>
              <w:rPr>
                <w:b w:val="0"/>
                <w:bCs w:val="0"/>
                <w:color w:val="auto"/>
                <w:sz w:val="16"/>
                <w:szCs w:val="16"/>
              </w:rPr>
            </w:pPr>
            <w:r w:rsidRPr="00390577">
              <w:rPr>
                <w:color w:val="auto"/>
                <w:sz w:val="16"/>
                <w:szCs w:val="16"/>
              </w:rPr>
              <w:t>Name</w:t>
            </w:r>
          </w:p>
        </w:tc>
        <w:tc>
          <w:tcPr>
            <w:tcW w:w="946" w:type="dxa"/>
            <w:shd w:val="clear" w:color="auto" w:fill="DAEEF3" w:themeFill="accent5" w:themeFillTint="33"/>
          </w:tcPr>
          <w:p w:rsidR="00246208" w:rsidRPr="00390577" w:rsidRDefault="00246208" w:rsidP="00226F9B">
            <w:pPr>
              <w:pStyle w:val="Body"/>
              <w:cnfStyle w:val="100000000000" w:firstRow="1" w:lastRow="0" w:firstColumn="0" w:lastColumn="0" w:oddVBand="0" w:evenVBand="0" w:oddHBand="0" w:evenHBand="0" w:firstRowFirstColumn="0" w:firstRowLastColumn="0" w:lastRowFirstColumn="0" w:lastRowLastColumn="0"/>
              <w:rPr>
                <w:b w:val="0"/>
                <w:bCs w:val="0"/>
                <w:color w:val="auto"/>
                <w:sz w:val="16"/>
                <w:szCs w:val="16"/>
              </w:rPr>
            </w:pPr>
            <w:r w:rsidRPr="00390577">
              <w:rPr>
                <w:color w:val="auto"/>
                <w:sz w:val="16"/>
                <w:szCs w:val="16"/>
              </w:rPr>
              <w:t>Time in</w:t>
            </w:r>
          </w:p>
        </w:tc>
        <w:tc>
          <w:tcPr>
            <w:tcW w:w="779" w:type="dxa"/>
            <w:shd w:val="clear" w:color="auto" w:fill="DAEEF3" w:themeFill="accent5" w:themeFillTint="33"/>
          </w:tcPr>
          <w:p w:rsidR="00246208" w:rsidRPr="00390577" w:rsidRDefault="00246208" w:rsidP="00226F9B">
            <w:pPr>
              <w:pStyle w:val="Body"/>
              <w:cnfStyle w:val="100000000000" w:firstRow="1" w:lastRow="0" w:firstColumn="0" w:lastColumn="0" w:oddVBand="0" w:evenVBand="0" w:oddHBand="0" w:evenHBand="0" w:firstRowFirstColumn="0" w:firstRowLastColumn="0" w:lastRowFirstColumn="0" w:lastRowLastColumn="0"/>
              <w:rPr>
                <w:b w:val="0"/>
                <w:bCs w:val="0"/>
                <w:color w:val="auto"/>
                <w:sz w:val="16"/>
                <w:szCs w:val="16"/>
              </w:rPr>
            </w:pPr>
            <w:r w:rsidRPr="00390577">
              <w:rPr>
                <w:color w:val="auto"/>
                <w:sz w:val="16"/>
                <w:szCs w:val="16"/>
              </w:rPr>
              <w:t>Time out</w:t>
            </w:r>
          </w:p>
        </w:tc>
        <w:tc>
          <w:tcPr>
            <w:tcW w:w="1157" w:type="dxa"/>
            <w:shd w:val="clear" w:color="auto" w:fill="DAEEF3" w:themeFill="accent5" w:themeFillTint="33"/>
          </w:tcPr>
          <w:p w:rsidR="00246208" w:rsidRPr="00390577" w:rsidRDefault="00246208" w:rsidP="00226F9B">
            <w:pPr>
              <w:pStyle w:val="Body"/>
              <w:cnfStyle w:val="100000000000" w:firstRow="1" w:lastRow="0" w:firstColumn="0" w:lastColumn="0" w:oddVBand="0" w:evenVBand="0" w:oddHBand="0" w:evenHBand="0" w:firstRowFirstColumn="0" w:firstRowLastColumn="0" w:lastRowFirstColumn="0" w:lastRowLastColumn="0"/>
              <w:rPr>
                <w:b w:val="0"/>
                <w:bCs w:val="0"/>
                <w:color w:val="auto"/>
                <w:sz w:val="16"/>
                <w:szCs w:val="16"/>
              </w:rPr>
            </w:pPr>
            <w:r w:rsidRPr="00390577">
              <w:rPr>
                <w:color w:val="auto"/>
                <w:sz w:val="16"/>
                <w:szCs w:val="16"/>
              </w:rPr>
              <w:t>Event (if applicable)</w:t>
            </w:r>
          </w:p>
        </w:tc>
        <w:tc>
          <w:tcPr>
            <w:tcW w:w="2231" w:type="dxa"/>
            <w:shd w:val="clear" w:color="auto" w:fill="DAEEF3" w:themeFill="accent5" w:themeFillTint="33"/>
          </w:tcPr>
          <w:p w:rsidR="00246208" w:rsidRPr="00390577" w:rsidRDefault="00246208" w:rsidP="00226F9B">
            <w:pPr>
              <w:pStyle w:val="Body"/>
              <w:cnfStyle w:val="100000000000" w:firstRow="1" w:lastRow="0" w:firstColumn="0" w:lastColumn="0" w:oddVBand="0" w:evenVBand="0" w:oddHBand="0" w:evenHBand="0" w:firstRowFirstColumn="0" w:firstRowLastColumn="0" w:lastRowFirstColumn="0" w:lastRowLastColumn="0"/>
              <w:rPr>
                <w:b w:val="0"/>
                <w:bCs w:val="0"/>
                <w:color w:val="auto"/>
                <w:sz w:val="16"/>
                <w:szCs w:val="16"/>
              </w:rPr>
            </w:pPr>
            <w:r w:rsidRPr="00390577">
              <w:rPr>
                <w:color w:val="auto"/>
                <w:sz w:val="16"/>
                <w:szCs w:val="16"/>
              </w:rPr>
              <w:t>Task(s) performed</w:t>
            </w:r>
          </w:p>
        </w:tc>
        <w:tc>
          <w:tcPr>
            <w:tcW w:w="2526" w:type="dxa"/>
            <w:shd w:val="clear" w:color="auto" w:fill="DAEEF3" w:themeFill="accent5" w:themeFillTint="33"/>
          </w:tcPr>
          <w:p w:rsidR="00246208" w:rsidRPr="00390577" w:rsidRDefault="00246208" w:rsidP="00226F9B">
            <w:pPr>
              <w:pStyle w:val="Body"/>
              <w:cnfStyle w:val="100000000000" w:firstRow="1" w:lastRow="0" w:firstColumn="0" w:lastColumn="0" w:oddVBand="0" w:evenVBand="0" w:oddHBand="0" w:evenHBand="0" w:firstRowFirstColumn="0" w:firstRowLastColumn="0" w:lastRowFirstColumn="0" w:lastRowLastColumn="0"/>
              <w:rPr>
                <w:b w:val="0"/>
                <w:bCs w:val="0"/>
                <w:color w:val="auto"/>
                <w:sz w:val="16"/>
                <w:szCs w:val="16"/>
              </w:rPr>
            </w:pPr>
            <w:r w:rsidRPr="00390577">
              <w:rPr>
                <w:color w:val="auto"/>
                <w:sz w:val="16"/>
                <w:szCs w:val="16"/>
              </w:rPr>
              <w:t>Volunteer's signature</w:t>
            </w:r>
          </w:p>
        </w:tc>
      </w:tr>
      <w:tr w:rsidR="00246208" w:rsidRPr="00CC0766" w:rsidTr="0022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tcPr>
          <w:p w:rsidR="00246208" w:rsidRPr="0070106E" w:rsidRDefault="00246208" w:rsidP="00226F9B">
            <w:pPr>
              <w:pStyle w:val="Body"/>
              <w:rPr>
                <w:bCs w:val="0"/>
                <w:sz w:val="16"/>
                <w:szCs w:val="16"/>
              </w:rPr>
            </w:pPr>
            <w:r w:rsidRPr="0070106E">
              <w:rPr>
                <w:sz w:val="16"/>
                <w:szCs w:val="16"/>
              </w:rPr>
              <w:t>17/4/12</w:t>
            </w:r>
          </w:p>
        </w:tc>
        <w:tc>
          <w:tcPr>
            <w:tcW w:w="1183" w:type="dxa"/>
            <w:tcBorders>
              <w:top w:val="none" w:sz="0" w:space="0" w:color="auto"/>
              <w:bottom w:val="none" w:sz="0" w:space="0" w:color="auto"/>
            </w:tcBorders>
          </w:tcPr>
          <w:p w:rsidR="00246208" w:rsidRPr="0070106E" w:rsidRDefault="00246208" w:rsidP="00226F9B">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John Smith</w:t>
            </w:r>
          </w:p>
        </w:tc>
        <w:tc>
          <w:tcPr>
            <w:tcW w:w="946" w:type="dxa"/>
            <w:tcBorders>
              <w:top w:val="none" w:sz="0" w:space="0" w:color="auto"/>
              <w:bottom w:val="none" w:sz="0" w:space="0" w:color="auto"/>
            </w:tcBorders>
          </w:tcPr>
          <w:p w:rsidR="00246208" w:rsidRPr="0070106E" w:rsidRDefault="00246208" w:rsidP="00226F9B">
            <w:pPr>
              <w:pStyle w:val="Body"/>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70106E">
              <w:rPr>
                <w:sz w:val="16"/>
                <w:szCs w:val="16"/>
              </w:rPr>
              <w:t>10:30am</w:t>
            </w:r>
            <w:proofErr w:type="spellEnd"/>
          </w:p>
        </w:tc>
        <w:tc>
          <w:tcPr>
            <w:tcW w:w="779" w:type="dxa"/>
            <w:tcBorders>
              <w:top w:val="none" w:sz="0" w:space="0" w:color="auto"/>
              <w:bottom w:val="none" w:sz="0" w:space="0" w:color="auto"/>
            </w:tcBorders>
          </w:tcPr>
          <w:p w:rsidR="00246208" w:rsidRPr="0070106E" w:rsidRDefault="00246208" w:rsidP="00226F9B">
            <w:pPr>
              <w:pStyle w:val="Body"/>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70106E">
              <w:rPr>
                <w:sz w:val="16"/>
                <w:szCs w:val="16"/>
              </w:rPr>
              <w:t>12pm</w:t>
            </w:r>
            <w:proofErr w:type="spellEnd"/>
          </w:p>
        </w:tc>
        <w:tc>
          <w:tcPr>
            <w:tcW w:w="1157" w:type="dxa"/>
            <w:tcBorders>
              <w:top w:val="none" w:sz="0" w:space="0" w:color="auto"/>
              <w:bottom w:val="none" w:sz="0" w:space="0" w:color="auto"/>
            </w:tcBorders>
          </w:tcPr>
          <w:p w:rsidR="00246208" w:rsidRPr="0070106E" w:rsidRDefault="00246208" w:rsidP="00226F9B">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Monthly working bee</w:t>
            </w:r>
          </w:p>
        </w:tc>
        <w:tc>
          <w:tcPr>
            <w:tcW w:w="2231" w:type="dxa"/>
            <w:tcBorders>
              <w:top w:val="none" w:sz="0" w:space="0" w:color="auto"/>
              <w:bottom w:val="none" w:sz="0" w:space="0" w:color="auto"/>
            </w:tcBorders>
          </w:tcPr>
          <w:p w:rsidR="00246208" w:rsidRPr="0070106E" w:rsidRDefault="00246208" w:rsidP="00226F9B">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Weeding</w:t>
            </w:r>
          </w:p>
          <w:p w:rsidR="00246208" w:rsidRPr="0070106E" w:rsidRDefault="00246208" w:rsidP="00226F9B">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Painting</w:t>
            </w:r>
          </w:p>
        </w:tc>
        <w:tc>
          <w:tcPr>
            <w:tcW w:w="2526" w:type="dxa"/>
            <w:tcBorders>
              <w:top w:val="none" w:sz="0" w:space="0" w:color="auto"/>
              <w:bottom w:val="none" w:sz="0" w:space="0" w:color="auto"/>
              <w:right w:val="none" w:sz="0" w:space="0" w:color="auto"/>
            </w:tcBorders>
          </w:tcPr>
          <w:p w:rsidR="00246208" w:rsidRPr="0070106E" w:rsidRDefault="00246208" w:rsidP="00226F9B">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r>
      <w:tr w:rsidR="00357929" w:rsidRPr="00CC0766" w:rsidTr="005D5D17">
        <w:tc>
          <w:tcPr>
            <w:cnfStyle w:val="001000000000" w:firstRow="0" w:lastRow="0" w:firstColumn="1" w:lastColumn="0" w:oddVBand="0" w:evenVBand="0" w:oddHBand="0" w:evenHBand="0" w:firstRowFirstColumn="0" w:firstRowLastColumn="0" w:lastRowFirstColumn="0" w:lastRowLastColumn="0"/>
            <w:tcW w:w="817" w:type="dxa"/>
          </w:tcPr>
          <w:p w:rsidR="00357929" w:rsidRPr="0070106E" w:rsidRDefault="00357929" w:rsidP="005D5D17">
            <w:pPr>
              <w:pStyle w:val="DEPINormal"/>
              <w:rPr>
                <w:b w:val="0"/>
                <w:bCs w:val="0"/>
                <w:sz w:val="16"/>
                <w:szCs w:val="16"/>
              </w:rPr>
            </w:pPr>
          </w:p>
        </w:tc>
        <w:tc>
          <w:tcPr>
            <w:tcW w:w="1183" w:type="dxa"/>
          </w:tcPr>
          <w:p w:rsidR="00357929" w:rsidRPr="0070106E" w:rsidRDefault="00357929" w:rsidP="005D5D17">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946" w:type="dxa"/>
          </w:tcPr>
          <w:p w:rsidR="00357929" w:rsidRPr="0070106E" w:rsidRDefault="00357929" w:rsidP="005D5D17">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779" w:type="dxa"/>
          </w:tcPr>
          <w:p w:rsidR="00357929" w:rsidRPr="0070106E" w:rsidRDefault="00357929" w:rsidP="005D5D17">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1157" w:type="dxa"/>
          </w:tcPr>
          <w:p w:rsidR="00357929" w:rsidRPr="0070106E" w:rsidRDefault="00357929" w:rsidP="005D5D17">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2231" w:type="dxa"/>
          </w:tcPr>
          <w:p w:rsidR="00357929" w:rsidRPr="0070106E" w:rsidRDefault="00357929" w:rsidP="005D5D17">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2526" w:type="dxa"/>
          </w:tcPr>
          <w:p w:rsidR="00357929" w:rsidRPr="0070106E" w:rsidRDefault="00357929" w:rsidP="005D5D17">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r>
      <w:tr w:rsidR="00246208" w:rsidRPr="00CC0766" w:rsidTr="0022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246208" w:rsidRPr="0070106E" w:rsidRDefault="00246208" w:rsidP="00226F9B">
            <w:pPr>
              <w:pStyle w:val="DEPINormal"/>
              <w:rPr>
                <w:b w:val="0"/>
                <w:bCs w:val="0"/>
                <w:sz w:val="16"/>
                <w:szCs w:val="16"/>
              </w:rPr>
            </w:pPr>
          </w:p>
        </w:tc>
        <w:tc>
          <w:tcPr>
            <w:tcW w:w="1183" w:type="dxa"/>
          </w:tcPr>
          <w:p w:rsidR="00246208" w:rsidRPr="0070106E" w:rsidRDefault="00246208" w:rsidP="00226F9B">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c>
          <w:tcPr>
            <w:tcW w:w="946" w:type="dxa"/>
          </w:tcPr>
          <w:p w:rsidR="00246208" w:rsidRPr="0070106E" w:rsidRDefault="00246208" w:rsidP="00226F9B">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c>
          <w:tcPr>
            <w:tcW w:w="779" w:type="dxa"/>
          </w:tcPr>
          <w:p w:rsidR="00246208" w:rsidRPr="0070106E" w:rsidRDefault="00246208" w:rsidP="00226F9B">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c>
          <w:tcPr>
            <w:tcW w:w="1157" w:type="dxa"/>
          </w:tcPr>
          <w:p w:rsidR="00246208" w:rsidRPr="0070106E" w:rsidRDefault="00246208" w:rsidP="00226F9B">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c>
          <w:tcPr>
            <w:tcW w:w="2231" w:type="dxa"/>
          </w:tcPr>
          <w:p w:rsidR="00246208" w:rsidRPr="0070106E" w:rsidRDefault="00246208" w:rsidP="00226F9B">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c>
          <w:tcPr>
            <w:tcW w:w="2526" w:type="dxa"/>
          </w:tcPr>
          <w:p w:rsidR="00246208" w:rsidRPr="0070106E" w:rsidRDefault="00246208" w:rsidP="00226F9B">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r>
    </w:tbl>
    <w:p w:rsidR="007C519A" w:rsidRDefault="007C519A" w:rsidP="00357929">
      <w:pPr>
        <w:rPr>
          <w:lang w:eastAsia="en-AU"/>
        </w:rPr>
      </w:pPr>
      <w:bookmarkStart w:id="9" w:name="_Toc380503661"/>
      <w:bookmarkStart w:id="10" w:name="_Toc382289729"/>
      <w:r>
        <w:br w:type="page"/>
      </w:r>
    </w:p>
    <w:p w:rsidR="00246208" w:rsidRPr="00A81B81" w:rsidRDefault="007C519A" w:rsidP="007C519A">
      <w:pPr>
        <w:pStyle w:val="Heading2"/>
      </w:pPr>
      <w:r>
        <w:lastRenderedPageBreak/>
        <w:t>11.2</w:t>
      </w:r>
      <w:r>
        <w:tab/>
      </w:r>
      <w:r w:rsidR="00246208">
        <w:t>Groups not insured under</w:t>
      </w:r>
      <w:r w:rsidR="00246208" w:rsidRPr="00A81B81">
        <w:t xml:space="preserve"> </w:t>
      </w:r>
      <w:r w:rsidR="00075BB3">
        <w:t>DELWP’s</w:t>
      </w:r>
      <w:r w:rsidR="00246208" w:rsidRPr="00A81B81">
        <w:t xml:space="preserve"> </w:t>
      </w:r>
      <w:r w:rsidR="00246208">
        <w:t>insurance policies</w:t>
      </w:r>
      <w:bookmarkEnd w:id="9"/>
      <w:bookmarkEnd w:id="10"/>
    </w:p>
    <w:p w:rsidR="00246208" w:rsidRPr="00B72191" w:rsidRDefault="00246208" w:rsidP="00246208">
      <w:pPr>
        <w:pStyle w:val="Body"/>
      </w:pPr>
      <w:r>
        <w:t>A Crown land reserve might be used by many different groups in a variety of ways. The department's insurance program only provides public liability insurance for the committee. This is why the committee needs to think about who else uses the reserve in a way that might cause damage or injury to a member of the public.</w:t>
      </w:r>
    </w:p>
    <w:p w:rsidR="00246208" w:rsidRPr="00BB26C4" w:rsidRDefault="00246208" w:rsidP="007C519A">
      <w:pPr>
        <w:pStyle w:val="HB"/>
      </w:pPr>
      <w:bookmarkStart w:id="11" w:name="_Toc380503662"/>
      <w:bookmarkStart w:id="12" w:name="_Toc382289730"/>
      <w:r>
        <w:t>L</w:t>
      </w:r>
      <w:r w:rsidRPr="00BB26C4">
        <w:t xml:space="preserve">ease or </w:t>
      </w:r>
      <w:r>
        <w:t>l</w:t>
      </w:r>
      <w:r w:rsidRPr="00BB26C4">
        <w:t>icence holders</w:t>
      </w:r>
      <w:bookmarkEnd w:id="11"/>
      <w:bookmarkEnd w:id="12"/>
    </w:p>
    <w:p w:rsidR="00246208" w:rsidRDefault="00246208" w:rsidP="00246208">
      <w:pPr>
        <w:pStyle w:val="Body"/>
      </w:pPr>
      <w:r>
        <w:t>Lease and licence holders are not covered by the department’s insurance policies. Lease and licence holders should be required, under the conditions of their lease or licence, to maintain public liability insurance.   The committee must also make sure l</w:t>
      </w:r>
      <w:r w:rsidRPr="00923769">
        <w:t xml:space="preserve">ease or </w:t>
      </w:r>
      <w:r>
        <w:t>l</w:t>
      </w:r>
      <w:r w:rsidRPr="00923769">
        <w:t>icence holders</w:t>
      </w:r>
      <w:r>
        <w:t xml:space="preserve"> produce a copy of their insurance policy certificates to them each year.</w:t>
      </w:r>
      <w:r w:rsidRPr="006E19D2">
        <w:t xml:space="preserve"> </w:t>
      </w:r>
    </w:p>
    <w:p w:rsidR="00246208" w:rsidRDefault="00246208" w:rsidP="00246208">
      <w:pPr>
        <w:pStyle w:val="Body"/>
      </w:pPr>
      <w:r>
        <w:t>The committee can also require a tenant to insure any buildings they occupy if they are the sole occupant.</w:t>
      </w:r>
    </w:p>
    <w:p w:rsidR="00246208" w:rsidRDefault="00246208" w:rsidP="00246208">
      <w:pPr>
        <w:pStyle w:val="Body"/>
      </w:pPr>
      <w:r>
        <w:t>Organisations which have a lease or a licence should also have insurance to cover any of their property stored on reserve premises.</w:t>
      </w:r>
    </w:p>
    <w:p w:rsidR="00246208" w:rsidRDefault="00246208" w:rsidP="007C519A">
      <w:pPr>
        <w:pStyle w:val="HB"/>
      </w:pPr>
      <w:bookmarkStart w:id="13" w:name="_Toc380503663"/>
      <w:bookmarkStart w:id="14" w:name="_Toc382289731"/>
      <w:r>
        <w:t>Regular users</w:t>
      </w:r>
      <w:bookmarkEnd w:id="13"/>
      <w:bookmarkEnd w:id="14"/>
    </w:p>
    <w:p w:rsidR="00246208" w:rsidRDefault="00246208" w:rsidP="00246208">
      <w:pPr>
        <w:pStyle w:val="Body"/>
      </w:pPr>
      <w:r>
        <w:t xml:space="preserve">The reserve might be used by an organisation or group on a regular basis where there is no formal agreement in place. For example a sporting group might practice at the reserve on a seasonal basis, or an interest group might meet at the reserve monthly. The committee should consider whether to request evidence that the user has liability insurance in place depending on the nature of the activity and </w:t>
      </w:r>
      <w:r w:rsidR="007317A3">
        <w:t>the level of risk (see chapter 10</w:t>
      </w:r>
      <w:r>
        <w:t xml:space="preserve"> for further information on risk).</w:t>
      </w:r>
    </w:p>
    <w:p w:rsidR="00246208" w:rsidRPr="004A7ECD" w:rsidRDefault="00246208" w:rsidP="007C519A">
      <w:pPr>
        <w:pStyle w:val="HB"/>
      </w:pPr>
      <w:bookmarkStart w:id="15" w:name="_Toc380503664"/>
      <w:bookmarkStart w:id="16" w:name="_Toc382289732"/>
      <w:r w:rsidRPr="004A7ECD">
        <w:t>Contractors</w:t>
      </w:r>
      <w:bookmarkEnd w:id="15"/>
      <w:bookmarkEnd w:id="16"/>
    </w:p>
    <w:p w:rsidR="00246208" w:rsidRDefault="00246208" w:rsidP="00246208">
      <w:pPr>
        <w:pStyle w:val="Body"/>
      </w:pPr>
      <w:r>
        <w:t>Contractors are not covered by the department’s insurance policies and committees must ensure they have their own insurance before they are engaged to carry out work on the reserve. The type of insurance required by the contract will depend on the nature of the work being undertaken. For example, an arborist would need public liability and professional indemnity insurance. On the other hand, a person mowing the oval may only require public liability insurance.</w:t>
      </w:r>
    </w:p>
    <w:p w:rsidR="00246208" w:rsidRDefault="00246208" w:rsidP="007C519A">
      <w:pPr>
        <w:pStyle w:val="HB"/>
      </w:pPr>
      <w:bookmarkStart w:id="17" w:name="_Toc380503665"/>
      <w:bookmarkStart w:id="18" w:name="_Toc382289733"/>
      <w:r>
        <w:t>Casual hirers and users</w:t>
      </w:r>
      <w:bookmarkEnd w:id="17"/>
      <w:bookmarkEnd w:id="18"/>
    </w:p>
    <w:p w:rsidR="00246208" w:rsidRDefault="00246208" w:rsidP="00246208">
      <w:pPr>
        <w:pStyle w:val="Body"/>
      </w:pPr>
      <w:r>
        <w:t xml:space="preserve">Some Crown land reserves have facilities that can be hired out to organisations or individuals for a one-off event, such as a party or a meeting. </w:t>
      </w:r>
      <w:r w:rsidRPr="00356630">
        <w:t xml:space="preserve">The department’s insurance policy does not cover </w:t>
      </w:r>
      <w:r>
        <w:t xml:space="preserve">people who hire facilities </w:t>
      </w:r>
      <w:r w:rsidRPr="00356630">
        <w:t>against third party claims f</w:t>
      </w:r>
      <w:r>
        <w:t>or injuries caused by the hirer,</w:t>
      </w:r>
      <w:r w:rsidRPr="00356630">
        <w:t xml:space="preserve"> for example, food poisoning of guests at a wedding.</w:t>
      </w:r>
      <w:r>
        <w:t xml:space="preserve"> </w:t>
      </w:r>
    </w:p>
    <w:p w:rsidR="00246208" w:rsidRDefault="00246208" w:rsidP="00246208">
      <w:pPr>
        <w:pStyle w:val="Body"/>
      </w:pPr>
      <w:r>
        <w:t xml:space="preserve">Casual hirer’s public liability insurance is designed to provide uninsured hirers with insurance protection against claims by third parties for injury or property damage arising out of the activity at the hired facility relating to the negligence of the hirer. </w:t>
      </w:r>
      <w:r w:rsidRPr="00356630">
        <w:t xml:space="preserve">The committee can purchase this insurance on an annual basis, with the premium dependent on the estimated number of bookings </w:t>
      </w:r>
      <w:r>
        <w:t xml:space="preserve">over the year </w:t>
      </w:r>
      <w:r w:rsidRPr="00356630">
        <w:t>that would require cover.</w:t>
      </w:r>
      <w:r>
        <w:t xml:space="preserve"> The cost of the insurance policy can be recovered in the hire fee.</w:t>
      </w:r>
    </w:p>
    <w:p w:rsidR="00246208" w:rsidRDefault="00246208" w:rsidP="00246208">
      <w:pPr>
        <w:pStyle w:val="Body"/>
      </w:pPr>
      <w:r>
        <w:t>An organisation which hires facilities might have a policy in place that may cover a potential liability, and they should be asked to provide evidence of the policy. Individuals may not have insurance that would cover them in this situation and many committees</w:t>
      </w:r>
      <w:r w:rsidRPr="00356630">
        <w:t xml:space="preserve"> purchase casual hirer’s public liability insurance (</w:t>
      </w:r>
      <w:r>
        <w:t>also called "</w:t>
      </w:r>
      <w:r w:rsidRPr="00356630">
        <w:t>hirer’s liability insurance</w:t>
      </w:r>
      <w:r>
        <w:t>"</w:t>
      </w:r>
      <w:r w:rsidRPr="00356630">
        <w:t>)</w:t>
      </w:r>
      <w:r>
        <w:t xml:space="preserve"> as an alternative. </w:t>
      </w:r>
    </w:p>
    <w:p w:rsidR="00246208" w:rsidRDefault="00246208" w:rsidP="00246208">
      <w:pPr>
        <w:pStyle w:val="Body"/>
      </w:pPr>
      <w:r>
        <w:t>Casual hirer's public liability insurance is available</w:t>
      </w:r>
      <w:r w:rsidRPr="00356630">
        <w:t xml:space="preserve"> from Jardine Lloyd Thompson Pty Ltd</w:t>
      </w:r>
      <w:r>
        <w:t>. Call (03) 8664 9309</w:t>
      </w:r>
      <w:r w:rsidRPr="00356630">
        <w:t>.</w:t>
      </w:r>
    </w:p>
    <w:p w:rsidR="00246208" w:rsidRDefault="00246208" w:rsidP="007C519A">
      <w:pPr>
        <w:pStyle w:val="HB"/>
      </w:pPr>
      <w:bookmarkStart w:id="19" w:name="_Toc380503666"/>
      <w:bookmarkStart w:id="20" w:name="_Toc382289734"/>
      <w:r>
        <w:t>Commonwealth, state or local government users of the reserve</w:t>
      </w:r>
      <w:bookmarkEnd w:id="19"/>
      <w:bookmarkEnd w:id="20"/>
    </w:p>
    <w:p w:rsidR="00246208" w:rsidRDefault="00246208" w:rsidP="00E279E8">
      <w:pPr>
        <w:pStyle w:val="Body"/>
        <w:spacing w:after="300"/>
      </w:pPr>
      <w:r>
        <w:t>Government departments maintain their own insurance and unless they are the lessee or licensee of a reserve, for example a school on a reserve, there is no need to ask for evidence of insurance.</w:t>
      </w:r>
    </w:p>
    <w:p w:rsidR="007C519A" w:rsidRDefault="007C519A">
      <w:pPr>
        <w:spacing w:after="0" w:line="240" w:lineRule="auto"/>
        <w:rPr>
          <w:b/>
          <w:color w:val="228591"/>
          <w:sz w:val="24"/>
        </w:rPr>
      </w:pPr>
      <w:bookmarkStart w:id="21" w:name="_Toc380503667"/>
      <w:bookmarkStart w:id="22" w:name="_Toc382289735"/>
      <w:r>
        <w:br w:type="page"/>
      </w:r>
    </w:p>
    <w:p w:rsidR="00E82FC7" w:rsidRPr="00E82FC7" w:rsidRDefault="00246208" w:rsidP="00E279E8">
      <w:pPr>
        <w:pStyle w:val="HB"/>
        <w:spacing w:before="0" w:after="160"/>
      </w:pPr>
      <w:r w:rsidRPr="00045F39">
        <w:lastRenderedPageBreak/>
        <w:t>What to verify on insurance certificates</w:t>
      </w:r>
      <w:r>
        <w:t xml:space="preserve"> of other groups</w:t>
      </w:r>
      <w:bookmarkEnd w:id="21"/>
      <w:bookmarkEnd w:id="22"/>
    </w:p>
    <w:tbl>
      <w:tblPr>
        <w:tblStyle w:val="DSETable"/>
        <w:tblW w:w="9776" w:type="dxa"/>
        <w:tblLook w:val="04A0" w:firstRow="1" w:lastRow="0" w:firstColumn="1" w:lastColumn="0" w:noHBand="0" w:noVBand="1"/>
      </w:tblPr>
      <w:tblGrid>
        <w:gridCol w:w="1980"/>
        <w:gridCol w:w="7796"/>
      </w:tblGrid>
      <w:tr w:rsidR="00246208" w:rsidTr="00E11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46208" w:rsidRDefault="00246208" w:rsidP="00226F9B">
            <w:pPr>
              <w:pStyle w:val="Body"/>
            </w:pPr>
            <w:r>
              <w:t>Certificate Section</w:t>
            </w:r>
          </w:p>
        </w:tc>
        <w:tc>
          <w:tcPr>
            <w:tcW w:w="7796" w:type="dxa"/>
          </w:tcPr>
          <w:p w:rsidR="00246208" w:rsidRDefault="00246208" w:rsidP="00226F9B">
            <w:pPr>
              <w:pStyle w:val="Body"/>
              <w:cnfStyle w:val="100000000000" w:firstRow="1" w:lastRow="0" w:firstColumn="0" w:lastColumn="0" w:oddVBand="0" w:evenVBand="0" w:oddHBand="0" w:evenHBand="0" w:firstRowFirstColumn="0" w:firstRowLastColumn="0" w:lastRowFirstColumn="0" w:lastRowLastColumn="0"/>
            </w:pPr>
            <w:r>
              <w:t>Item to check</w:t>
            </w:r>
          </w:p>
        </w:tc>
      </w:tr>
      <w:tr w:rsidR="00246208" w:rsidTr="00E11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46208" w:rsidRPr="002149C9" w:rsidRDefault="00246208" w:rsidP="00226F9B">
            <w:pPr>
              <w:pStyle w:val="Body"/>
            </w:pPr>
            <w:r w:rsidRPr="002149C9">
              <w:t xml:space="preserve">Name of </w:t>
            </w:r>
            <w:r>
              <w:t>insured</w:t>
            </w:r>
          </w:p>
        </w:tc>
        <w:tc>
          <w:tcPr>
            <w:tcW w:w="7796" w:type="dxa"/>
          </w:tcPr>
          <w:p w:rsidR="00246208" w:rsidRPr="002149C9" w:rsidRDefault="00246208" w:rsidP="00226F9B">
            <w:pPr>
              <w:pStyle w:val="Body"/>
              <w:cnfStyle w:val="000000100000" w:firstRow="0" w:lastRow="0" w:firstColumn="0" w:lastColumn="0" w:oddVBand="0" w:evenVBand="0" w:oddHBand="1" w:evenHBand="0" w:firstRowFirstColumn="0" w:firstRowLastColumn="0" w:lastRowFirstColumn="0" w:lastRowLastColumn="0"/>
            </w:pPr>
            <w:r>
              <w:t>Matches the name on the licence or lease or name of user group</w:t>
            </w:r>
          </w:p>
        </w:tc>
      </w:tr>
      <w:tr w:rsidR="00246208" w:rsidTr="00E11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46208" w:rsidRPr="002149C9" w:rsidRDefault="00246208" w:rsidP="00226F9B">
            <w:pPr>
              <w:pStyle w:val="Body"/>
            </w:pPr>
            <w:r>
              <w:t>Type of insurance</w:t>
            </w:r>
          </w:p>
        </w:tc>
        <w:tc>
          <w:tcPr>
            <w:tcW w:w="7796" w:type="dxa"/>
          </w:tcPr>
          <w:p w:rsidR="00246208" w:rsidRPr="002149C9" w:rsidRDefault="00246208" w:rsidP="00226F9B">
            <w:pPr>
              <w:pStyle w:val="Body"/>
              <w:cnfStyle w:val="000000010000" w:firstRow="0" w:lastRow="0" w:firstColumn="0" w:lastColumn="0" w:oddVBand="0" w:evenVBand="0" w:oddHBand="0" w:evenHBand="1" w:firstRowFirstColumn="0" w:firstRowLastColumn="0" w:lastRowFirstColumn="0" w:lastRowLastColumn="0"/>
            </w:pPr>
            <w:r>
              <w:t>Public liability or combined liability or general liability. Committees should consider requiring a tenant to insure the premises</w:t>
            </w:r>
          </w:p>
        </w:tc>
      </w:tr>
      <w:tr w:rsidR="00246208" w:rsidTr="00E11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46208" w:rsidRPr="002149C9" w:rsidRDefault="00246208" w:rsidP="00226F9B">
            <w:pPr>
              <w:pStyle w:val="Body"/>
            </w:pPr>
            <w:r>
              <w:t>Period of insurance</w:t>
            </w:r>
          </w:p>
        </w:tc>
        <w:tc>
          <w:tcPr>
            <w:tcW w:w="7796" w:type="dxa"/>
          </w:tcPr>
          <w:p w:rsidR="00246208" w:rsidRPr="002149C9" w:rsidRDefault="00246208" w:rsidP="00226F9B">
            <w:pPr>
              <w:pStyle w:val="Body"/>
              <w:cnfStyle w:val="000000100000" w:firstRow="0" w:lastRow="0" w:firstColumn="0" w:lastColumn="0" w:oddVBand="0" w:evenVBand="0" w:oddHBand="1" w:evenHBand="0" w:firstRowFirstColumn="0" w:firstRowLastColumn="0" w:lastRowFirstColumn="0" w:lastRowLastColumn="0"/>
            </w:pPr>
            <w:r>
              <w:t>Must cover the forthcoming twelve months</w:t>
            </w:r>
          </w:p>
        </w:tc>
      </w:tr>
      <w:tr w:rsidR="00246208" w:rsidTr="00E11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246208" w:rsidRPr="002149C9" w:rsidRDefault="00246208" w:rsidP="00226F9B">
            <w:pPr>
              <w:pStyle w:val="Body"/>
            </w:pPr>
            <w:r>
              <w:t>Insured sum</w:t>
            </w:r>
          </w:p>
        </w:tc>
        <w:tc>
          <w:tcPr>
            <w:tcW w:w="7796" w:type="dxa"/>
          </w:tcPr>
          <w:p w:rsidR="00246208" w:rsidRPr="002149C9" w:rsidRDefault="00246208" w:rsidP="00226F9B">
            <w:pPr>
              <w:pStyle w:val="Body"/>
              <w:cnfStyle w:val="000000010000" w:firstRow="0" w:lastRow="0" w:firstColumn="0" w:lastColumn="0" w:oddVBand="0" w:evenVBand="0" w:oddHBand="0" w:evenHBand="1" w:firstRowFirstColumn="0" w:firstRowLastColumn="0" w:lastRowFirstColumn="0" w:lastRowLastColumn="0"/>
            </w:pPr>
            <w:r>
              <w:t>Generally $10 million public and product liability cover is required.</w:t>
            </w:r>
          </w:p>
        </w:tc>
      </w:tr>
    </w:tbl>
    <w:p w:rsidR="00246208" w:rsidRPr="008D2127" w:rsidRDefault="007C519A" w:rsidP="007C519A">
      <w:pPr>
        <w:pStyle w:val="Heading2"/>
        <w:spacing w:before="400"/>
      </w:pPr>
      <w:bookmarkStart w:id="23" w:name="_Toc380503668"/>
      <w:bookmarkStart w:id="24" w:name="_Toc382289736"/>
      <w:r>
        <w:t>11.3</w:t>
      </w:r>
      <w:r>
        <w:tab/>
      </w:r>
      <w:r w:rsidR="00246208" w:rsidRPr="008D2127">
        <w:t>Insurance</w:t>
      </w:r>
      <w:bookmarkEnd w:id="23"/>
      <w:bookmarkEnd w:id="24"/>
      <w:r w:rsidR="007A6D47">
        <w:t xml:space="preserve"> the committee may need to purchase</w:t>
      </w:r>
    </w:p>
    <w:p w:rsidR="00246208" w:rsidRPr="008D2127" w:rsidRDefault="00246208" w:rsidP="007C519A">
      <w:pPr>
        <w:pStyle w:val="HB"/>
      </w:pPr>
      <w:bookmarkStart w:id="25" w:name="_Toc380503669"/>
      <w:bookmarkStart w:id="26" w:name="_Toc382289737"/>
      <w:r w:rsidRPr="008D2127">
        <w:t>Building and/or contents insurance</w:t>
      </w:r>
      <w:bookmarkEnd w:id="25"/>
      <w:bookmarkEnd w:id="26"/>
    </w:p>
    <w:p w:rsidR="00246208" w:rsidRDefault="00246208" w:rsidP="00246208">
      <w:pPr>
        <w:pStyle w:val="Body"/>
      </w:pPr>
      <w:r w:rsidRPr="00A81B81">
        <w:t>Committees are responsi</w:t>
      </w:r>
      <w:r>
        <w:t xml:space="preserve">ble for arranging insurance for </w:t>
      </w:r>
      <w:r w:rsidRPr="00A81B81">
        <w:t>damage to buildings on the reserve</w:t>
      </w:r>
      <w:r>
        <w:t xml:space="preserve"> (property insurance) and for loss of or damage to c</w:t>
      </w:r>
      <w:r w:rsidRPr="00A81B81">
        <w:t>ontents</w:t>
      </w:r>
      <w:r>
        <w:t xml:space="preserve"> and</w:t>
      </w:r>
      <w:r w:rsidRPr="00A81B81">
        <w:t xml:space="preserve"> othe</w:t>
      </w:r>
      <w:r>
        <w:t>r assets owned by the committee (contents insurance). As discussed above, if the buildings are occupied under a lease, the tenant can be required to insure the premises.</w:t>
      </w:r>
    </w:p>
    <w:p w:rsidR="00246208" w:rsidRDefault="00246208" w:rsidP="007C519A">
      <w:pPr>
        <w:pStyle w:val="HB"/>
      </w:pPr>
      <w:bookmarkStart w:id="27" w:name="_Toc380503670"/>
      <w:bookmarkStart w:id="28" w:name="_Toc382289738"/>
      <w:r>
        <w:t>Workers Compensation insurance (WorkSafe Insurance)</w:t>
      </w:r>
      <w:bookmarkEnd w:id="27"/>
      <w:bookmarkEnd w:id="28"/>
    </w:p>
    <w:p w:rsidR="008A75CB" w:rsidRDefault="00246208" w:rsidP="00246208">
      <w:pPr>
        <w:pStyle w:val="Body"/>
      </w:pPr>
      <w:r>
        <w:t xml:space="preserve">If a committee employs staff under employment contracts and the committee’s annual payroll is expected to be more than $7500, the committee will need to take out WorkSafe Insurance.  Call WorkSafe Victoria on </w:t>
      </w:r>
      <w:r w:rsidRPr="00FD7E68">
        <w:t xml:space="preserve">(03) 9641 1444 or 1800 136 </w:t>
      </w:r>
      <w:r>
        <w:t>089 for advice on th</w:t>
      </w:r>
      <w:r w:rsidR="008A75CB">
        <w:t>e required insurance</w:t>
      </w:r>
    </w:p>
    <w:p w:rsidR="008A75CB" w:rsidRPr="00E11CAF" w:rsidRDefault="008A75CB" w:rsidP="007C519A">
      <w:pPr>
        <w:pStyle w:val="HB"/>
      </w:pPr>
      <w:r w:rsidRPr="00E11CAF">
        <w:t>Directors and Officers insurance</w:t>
      </w:r>
    </w:p>
    <w:p w:rsidR="008A75CB" w:rsidRPr="008A75CB" w:rsidRDefault="008A75CB" w:rsidP="00246208">
      <w:pPr>
        <w:pStyle w:val="Body"/>
      </w:pPr>
      <w:r>
        <w:t xml:space="preserve">A number of committees </w:t>
      </w:r>
      <w:r w:rsidR="005F6F6F">
        <w:t>arrange</w:t>
      </w:r>
      <w:r>
        <w:t xml:space="preserve"> directors and officers insurance (</w:t>
      </w:r>
      <w:proofErr w:type="spellStart"/>
      <w:r>
        <w:t>D&amp;O</w:t>
      </w:r>
      <w:proofErr w:type="spellEnd"/>
      <w:r>
        <w:t xml:space="preserve">). </w:t>
      </w:r>
      <w:proofErr w:type="spellStart"/>
      <w:r>
        <w:t>D&amp;O</w:t>
      </w:r>
      <w:proofErr w:type="spellEnd"/>
      <w:r>
        <w:t xml:space="preserve"> can provide cover for alleged errors or omissions which a committee member or executive officer might make </w:t>
      </w:r>
      <w:r w:rsidR="00E34B64">
        <w:t>in their role with</w:t>
      </w:r>
      <w:r>
        <w:t xml:space="preserve"> the committee. Employment practices liability cover is often included under a </w:t>
      </w:r>
      <w:proofErr w:type="spellStart"/>
      <w:r>
        <w:t>D&amp;O</w:t>
      </w:r>
      <w:proofErr w:type="spellEnd"/>
      <w:r>
        <w:t xml:space="preserve"> policy, and can assist the committee in responding to employment-related disputes. </w:t>
      </w:r>
    </w:p>
    <w:p w:rsidR="00246208" w:rsidRPr="008D2127" w:rsidRDefault="003A1BDD" w:rsidP="007C519A">
      <w:pPr>
        <w:pStyle w:val="HB"/>
      </w:pPr>
      <w:bookmarkStart w:id="29" w:name="_Toc380503671"/>
      <w:bookmarkStart w:id="30" w:name="_Toc382289739"/>
      <w:r>
        <w:rPr>
          <w:noProof/>
          <w:lang w:eastAsia="en-AU"/>
        </w:rPr>
        <mc:AlternateContent>
          <mc:Choice Requires="wps">
            <w:drawing>
              <wp:anchor distT="45720" distB="45720" distL="114300" distR="114300" simplePos="0" relativeHeight="251659264" behindDoc="0" locked="0" layoutInCell="1" allowOverlap="1" wp14:anchorId="4B9F54A6" wp14:editId="3A7F34B4">
                <wp:simplePos x="0" y="0"/>
                <wp:positionH relativeFrom="column">
                  <wp:posOffset>3255645</wp:posOffset>
                </wp:positionH>
                <wp:positionV relativeFrom="paragraph">
                  <wp:posOffset>128905</wp:posOffset>
                </wp:positionV>
                <wp:extent cx="2715260" cy="12141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214120"/>
                        </a:xfrm>
                        <a:prstGeom prst="rect">
                          <a:avLst/>
                        </a:prstGeom>
                        <a:noFill/>
                        <a:ln w="9525">
                          <a:no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tblGrid>
                            <w:tr w:rsidR="00246208" w:rsidRPr="00F60281" w:rsidTr="00390577">
                              <w:trPr>
                                <w:jc w:val="center"/>
                              </w:trPr>
                              <w:tc>
                                <w:tcPr>
                                  <w:tcW w:w="4844" w:type="dxa"/>
                                  <w:shd w:val="clear" w:color="auto" w:fill="DCDDDE"/>
                                  <w:tcMar>
                                    <w:top w:w="170" w:type="dxa"/>
                                    <w:left w:w="170" w:type="dxa"/>
                                  </w:tcMar>
                                </w:tcPr>
                                <w:p w:rsidR="00246208" w:rsidRPr="00F60281" w:rsidRDefault="00246208" w:rsidP="001D7E04">
                                  <w:pPr>
                                    <w:pStyle w:val="Body"/>
                                    <w:rPr>
                                      <w:b/>
                                      <w:sz w:val="16"/>
                                      <w:szCs w:val="16"/>
                                    </w:rPr>
                                  </w:pPr>
                                  <w:r w:rsidRPr="00F60281">
                                    <w:rPr>
                                      <w:b/>
                                      <w:sz w:val="16"/>
                                      <w:szCs w:val="16"/>
                                    </w:rPr>
                                    <w:t>The following websites provide information on the different types of insurance available and what a committee should look for in an insurance policy.</w:t>
                                  </w:r>
                                </w:p>
                              </w:tc>
                            </w:tr>
                            <w:tr w:rsidR="00246208" w:rsidRPr="00F60281" w:rsidTr="00390577">
                              <w:trPr>
                                <w:trHeight w:val="1312"/>
                                <w:jc w:val="center"/>
                              </w:trPr>
                              <w:tc>
                                <w:tcPr>
                                  <w:tcW w:w="4844" w:type="dxa"/>
                                  <w:shd w:val="clear" w:color="auto" w:fill="DCDDDE"/>
                                  <w:tcMar>
                                    <w:left w:w="170" w:type="dxa"/>
                                  </w:tcMar>
                                </w:tcPr>
                                <w:p w:rsidR="00246208" w:rsidRPr="00F60281" w:rsidRDefault="00AE6335" w:rsidP="00246208">
                                  <w:pPr>
                                    <w:pStyle w:val="Body"/>
                                    <w:numPr>
                                      <w:ilvl w:val="0"/>
                                      <w:numId w:val="2"/>
                                    </w:numPr>
                                    <w:rPr>
                                      <w:rStyle w:val="Hyperlink"/>
                                      <w:sz w:val="16"/>
                                      <w:szCs w:val="16"/>
                                    </w:rPr>
                                  </w:pPr>
                                  <w:hyperlink r:id="rId8" w:history="1">
                                    <w:r w:rsidR="00246208" w:rsidRPr="00F60281">
                                      <w:rPr>
                                        <w:rStyle w:val="Hyperlink"/>
                                        <w:sz w:val="16"/>
                                        <w:szCs w:val="16"/>
                                      </w:rPr>
                                      <w:t>Our Community</w:t>
                                    </w:r>
                                  </w:hyperlink>
                                </w:p>
                                <w:p w:rsidR="00246208" w:rsidRPr="00F60281" w:rsidRDefault="00AE6335" w:rsidP="00246208">
                                  <w:pPr>
                                    <w:pStyle w:val="Body"/>
                                    <w:numPr>
                                      <w:ilvl w:val="0"/>
                                      <w:numId w:val="2"/>
                                    </w:numPr>
                                    <w:rPr>
                                      <w:sz w:val="16"/>
                                      <w:szCs w:val="16"/>
                                    </w:rPr>
                                  </w:pPr>
                                  <w:hyperlink r:id="rId9" w:history="1">
                                    <w:r w:rsidR="005B1AC0" w:rsidRPr="00F60281">
                                      <w:rPr>
                                        <w:rStyle w:val="Hyperlink"/>
                                        <w:sz w:val="16"/>
                                        <w:szCs w:val="16"/>
                                      </w:rPr>
                                      <w:t>Justice Connect not-for-profit law - insurance</w:t>
                                    </w:r>
                                  </w:hyperlink>
                                </w:p>
                              </w:tc>
                            </w:tr>
                          </w:tbl>
                          <w:p w:rsidR="00246208" w:rsidRDefault="00246208" w:rsidP="00246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35pt;margin-top:10.15pt;width:213.8pt;height:9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" filled="f" stroked="f">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tblGrid>
                      <w:tr w:rsidR="00246208" w:rsidRPr="00F60281" w:rsidTr="00390577">
                        <w:trPr>
                          <w:jc w:val="center"/>
                        </w:trPr>
                        <w:tc>
                          <w:tcPr>
                            <w:tcW w:w="4844" w:type="dxa"/>
                            <w:shd w:val="clear" w:color="auto" w:fill="DCDDDE"/>
                            <w:tcMar>
                              <w:top w:w="170" w:type="dxa"/>
                              <w:left w:w="170" w:type="dxa"/>
                            </w:tcMar>
                          </w:tcPr>
                          <w:p w:rsidR="00246208" w:rsidRPr="00F60281" w:rsidRDefault="00246208" w:rsidP="001D7E04">
                            <w:pPr>
                              <w:pStyle w:val="Body"/>
                              <w:rPr>
                                <w:b/>
                                <w:sz w:val="16"/>
                                <w:szCs w:val="16"/>
                              </w:rPr>
                            </w:pPr>
                            <w:r w:rsidRPr="00F60281">
                              <w:rPr>
                                <w:b/>
                                <w:sz w:val="16"/>
                                <w:szCs w:val="16"/>
                              </w:rPr>
                              <w:t>The following websites provide information on the different types of insurance available and what a committee should look for in an insurance policy.</w:t>
                            </w:r>
                          </w:p>
                        </w:tc>
                      </w:tr>
                      <w:tr w:rsidR="00246208" w:rsidRPr="00F60281" w:rsidTr="00390577">
                        <w:trPr>
                          <w:trHeight w:val="1312"/>
                          <w:jc w:val="center"/>
                        </w:trPr>
                        <w:tc>
                          <w:tcPr>
                            <w:tcW w:w="4844" w:type="dxa"/>
                            <w:shd w:val="clear" w:color="auto" w:fill="DCDDDE"/>
                            <w:tcMar>
                              <w:left w:w="170" w:type="dxa"/>
                            </w:tcMar>
                          </w:tcPr>
                          <w:p w:rsidR="00246208" w:rsidRPr="00F60281" w:rsidRDefault="00AE6335" w:rsidP="00246208">
                            <w:pPr>
                              <w:pStyle w:val="Body"/>
                              <w:numPr>
                                <w:ilvl w:val="0"/>
                                <w:numId w:val="2"/>
                              </w:numPr>
                              <w:rPr>
                                <w:rStyle w:val="Hyperlink"/>
                                <w:sz w:val="16"/>
                                <w:szCs w:val="16"/>
                              </w:rPr>
                            </w:pPr>
                            <w:hyperlink r:id="rId10" w:history="1">
                              <w:r w:rsidR="00246208" w:rsidRPr="00F60281">
                                <w:rPr>
                                  <w:rStyle w:val="Hyperlink"/>
                                  <w:sz w:val="16"/>
                                  <w:szCs w:val="16"/>
                                </w:rPr>
                                <w:t>Our Community</w:t>
                              </w:r>
                            </w:hyperlink>
                          </w:p>
                          <w:p w:rsidR="00246208" w:rsidRPr="00F60281" w:rsidRDefault="00AE6335" w:rsidP="00246208">
                            <w:pPr>
                              <w:pStyle w:val="Body"/>
                              <w:numPr>
                                <w:ilvl w:val="0"/>
                                <w:numId w:val="2"/>
                              </w:numPr>
                              <w:rPr>
                                <w:sz w:val="16"/>
                                <w:szCs w:val="16"/>
                              </w:rPr>
                            </w:pPr>
                            <w:hyperlink r:id="rId11" w:history="1">
                              <w:r w:rsidR="005B1AC0" w:rsidRPr="00F60281">
                                <w:rPr>
                                  <w:rStyle w:val="Hyperlink"/>
                                  <w:sz w:val="16"/>
                                  <w:szCs w:val="16"/>
                                </w:rPr>
                                <w:t>Justice Connect not-for-profit law - insurance</w:t>
                              </w:r>
                            </w:hyperlink>
                          </w:p>
                        </w:tc>
                      </w:tr>
                    </w:tbl>
                    <w:p w:rsidR="00246208" w:rsidRDefault="00246208" w:rsidP="00246208"/>
                  </w:txbxContent>
                </v:textbox>
                <w10:wrap type="square"/>
              </v:shape>
            </w:pict>
          </mc:Fallback>
        </mc:AlternateContent>
      </w:r>
      <w:r w:rsidR="00246208" w:rsidRPr="008D2127">
        <w:t>Advice on other insurance needs</w:t>
      </w:r>
      <w:bookmarkEnd w:id="29"/>
      <w:bookmarkEnd w:id="30"/>
    </w:p>
    <w:p w:rsidR="003A1BDD" w:rsidRDefault="00246208" w:rsidP="003A1BDD">
      <w:pPr>
        <w:pStyle w:val="Body"/>
      </w:pPr>
      <w:r>
        <w:t xml:space="preserve">As committees come in all shapes and sizes, there is no one list of insurance requirements that will suit all committees. Terms of insurance policies also vary widely between different insurance companies. </w:t>
      </w:r>
      <w:r w:rsidR="00AD43CC">
        <w:t>DELWP</w:t>
      </w:r>
      <w:r>
        <w:t xml:space="preserve"> Insurance Management can provide the committee with advice. </w:t>
      </w:r>
      <w:r w:rsidR="009F1F28">
        <w:t xml:space="preserve"> </w:t>
      </w:r>
      <w:r>
        <w:t xml:space="preserve">Contact the </w:t>
      </w:r>
      <w:r w:rsidR="00AD43CC">
        <w:t>DELWP</w:t>
      </w:r>
      <w:r>
        <w:t xml:space="preserve"> Call Centre on 136 186. </w:t>
      </w:r>
      <w:bookmarkStart w:id="31" w:name="_Toc380503672"/>
      <w:bookmarkStart w:id="32" w:name="_Toc382289740"/>
    </w:p>
    <w:p w:rsidR="003A1BDD" w:rsidRDefault="003A1BDD" w:rsidP="003A1BDD"/>
    <w:p w:rsidR="003A1BDD" w:rsidRDefault="003A1BDD">
      <w:pPr>
        <w:spacing w:after="0" w:line="240" w:lineRule="auto"/>
        <w:rPr>
          <w:b/>
          <w:color w:val="228591"/>
          <w:sz w:val="28"/>
          <w:lang w:eastAsia="en-AU"/>
        </w:rPr>
      </w:pPr>
      <w:r>
        <w:br w:type="page"/>
      </w:r>
    </w:p>
    <w:p w:rsidR="0018246D" w:rsidRDefault="001F4C6B" w:rsidP="00550F47">
      <w:pPr>
        <w:pStyle w:val="Heading2"/>
      </w:pPr>
      <w:bookmarkStart w:id="33" w:name="_Toc380503674"/>
      <w:bookmarkStart w:id="34" w:name="_Toc382289742"/>
      <w:bookmarkEnd w:id="31"/>
      <w:bookmarkEnd w:id="32"/>
      <w:r>
        <w:lastRenderedPageBreak/>
        <w:t>11.4</w:t>
      </w:r>
      <w:r w:rsidR="00550F47">
        <w:tab/>
      </w:r>
      <w:r w:rsidR="0018246D">
        <w:t>Incidents and claims</w:t>
      </w:r>
    </w:p>
    <w:p w:rsidR="00986295" w:rsidRPr="00986295" w:rsidRDefault="00986295" w:rsidP="00986295">
      <w:pPr>
        <w:rPr>
          <w:lang w:eastAsia="en-AU"/>
        </w:rPr>
      </w:pPr>
      <w:r>
        <w:t>C</w:t>
      </w:r>
      <w:r w:rsidRPr="00B14584">
        <w:t xml:space="preserve">laims </w:t>
      </w:r>
      <w:r>
        <w:t>can</w:t>
      </w:r>
      <w:r w:rsidRPr="00B14584">
        <w:t xml:space="preserve"> arise when there has been damage to</w:t>
      </w:r>
      <w:r>
        <w:t xml:space="preserve"> property owned by</w:t>
      </w:r>
      <w:r w:rsidRPr="00B14584">
        <w:t xml:space="preserve"> a </w:t>
      </w:r>
      <w:r>
        <w:t>member of the public or if a member of the public is injured while on a Crown land reserve or at an event organised by the committee. This includes events not held on the reserve.</w:t>
      </w:r>
    </w:p>
    <w:p w:rsidR="007C519A" w:rsidRPr="00FE3A9B" w:rsidRDefault="00075BB3" w:rsidP="0018246D">
      <w:pPr>
        <w:pStyle w:val="HB"/>
      </w:pPr>
      <w:r>
        <w:t>Becoming aware of an incident</w:t>
      </w:r>
    </w:p>
    <w:p w:rsidR="007C519A" w:rsidRPr="00FE3A9B" w:rsidRDefault="007C519A" w:rsidP="007C519A">
      <w:pPr>
        <w:pStyle w:val="Body"/>
      </w:pPr>
      <w:r w:rsidRPr="00FE3A9B">
        <w:t>Committees of management may be</w:t>
      </w:r>
      <w:r>
        <w:t>come aware of</w:t>
      </w:r>
      <w:r w:rsidR="00075BB3">
        <w:t xml:space="preserve"> incidents or other </w:t>
      </w:r>
      <w:r w:rsidRPr="00FE3A9B">
        <w:t>potential claims from a variety of sources:</w:t>
      </w:r>
    </w:p>
    <w:p w:rsidR="007C519A" w:rsidRPr="00FE3A9B" w:rsidRDefault="007C519A" w:rsidP="00E1798A">
      <w:pPr>
        <w:pStyle w:val="ListBullet"/>
      </w:pPr>
      <w:r w:rsidRPr="00FE3A9B">
        <w:t>the injured party or property owner or their representative</w:t>
      </w:r>
    </w:p>
    <w:p w:rsidR="007C519A" w:rsidRPr="00FE3A9B" w:rsidRDefault="007C519A" w:rsidP="00E1798A">
      <w:pPr>
        <w:pStyle w:val="ListBullet"/>
      </w:pPr>
      <w:r w:rsidRPr="00FE3A9B">
        <w:t>police, ambulance or emergency service personnel</w:t>
      </w:r>
    </w:p>
    <w:p w:rsidR="007C519A" w:rsidRPr="00FE3A9B" w:rsidRDefault="005751E2" w:rsidP="00E1798A">
      <w:pPr>
        <w:pStyle w:val="ListBullet"/>
      </w:pPr>
      <w:r>
        <w:t>the media</w:t>
      </w:r>
    </w:p>
    <w:p w:rsidR="007C519A" w:rsidRPr="00FE3A9B" w:rsidRDefault="007C519A" w:rsidP="00E1798A">
      <w:pPr>
        <w:pStyle w:val="ListBullet"/>
      </w:pPr>
      <w:r w:rsidRPr="00FE3A9B">
        <w:t>a legal representative of the injured party or property owner</w:t>
      </w:r>
    </w:p>
    <w:p w:rsidR="007C519A" w:rsidRDefault="007C519A" w:rsidP="00E1798A">
      <w:pPr>
        <w:pStyle w:val="ListBullet"/>
      </w:pPr>
      <w:r w:rsidRPr="00FE3A9B">
        <w:t xml:space="preserve">a committee member or staff </w:t>
      </w:r>
      <w:r>
        <w:t xml:space="preserve">member </w:t>
      </w:r>
      <w:r w:rsidRPr="00FE3A9B">
        <w:t>who observed the incident.</w:t>
      </w:r>
    </w:p>
    <w:p w:rsidR="005751E2" w:rsidRDefault="005751E2" w:rsidP="005751E2">
      <w:r>
        <w:t>Notify DELWP as soon as possible after becoming aware of an incident or potential claim (see next page).</w:t>
      </w:r>
    </w:p>
    <w:p w:rsidR="007C519A" w:rsidRDefault="0018246D" w:rsidP="00550F47">
      <w:pPr>
        <w:pStyle w:val="HB"/>
      </w:pPr>
      <w:bookmarkStart w:id="35" w:name="_Toc380503676"/>
      <w:bookmarkStart w:id="36" w:name="_Toc382289744"/>
      <w:r>
        <w:t>Receiving n</w:t>
      </w:r>
      <w:r w:rsidR="007C519A" w:rsidRPr="00303878">
        <w:t>otification of a</w:t>
      </w:r>
      <w:r w:rsidR="00075BB3">
        <w:t xml:space="preserve">n incident </w:t>
      </w:r>
      <w:r w:rsidR="007C519A" w:rsidRPr="00303878">
        <w:t>in person or by phone</w:t>
      </w:r>
      <w:bookmarkEnd w:id="35"/>
      <w:bookmarkEnd w:id="36"/>
      <w:r w:rsidR="007C519A" w:rsidRPr="00303878">
        <w:t xml:space="preserve"> </w:t>
      </w:r>
    </w:p>
    <w:p w:rsidR="007C519A" w:rsidRDefault="007C519A" w:rsidP="00550F47">
      <w:pPr>
        <w:pStyle w:val="ListBullet"/>
      </w:pPr>
      <w:r>
        <w:t>Make note of the date and time, the person who made the report and the date and details of the reported incident. Ask the person to submit their claim in writing (an email is fine).</w:t>
      </w:r>
    </w:p>
    <w:p w:rsidR="007C519A" w:rsidRDefault="007C519A" w:rsidP="00550F47">
      <w:pPr>
        <w:pStyle w:val="ListBullet"/>
      </w:pPr>
      <w:r>
        <w:t>Do not make any remarks or comments about the incident to the person making the notification. Call DELWP Insurance Management on 136 186 to discuss the next steps.</w:t>
      </w:r>
    </w:p>
    <w:p w:rsidR="0075460C" w:rsidRDefault="0075460C" w:rsidP="00550F47">
      <w:pPr>
        <w:pStyle w:val="ListBullet"/>
      </w:pPr>
      <w:r>
        <w:t>Avoid making any admission of liability (see below).</w:t>
      </w:r>
    </w:p>
    <w:p w:rsidR="001F4C6B" w:rsidRDefault="001F4C6B" w:rsidP="00550F47">
      <w:pPr>
        <w:pStyle w:val="ListBullet"/>
      </w:pPr>
      <w:r>
        <w:t>Contact DELWP as soon as possible (see next page.)</w:t>
      </w:r>
    </w:p>
    <w:p w:rsidR="005D01A0" w:rsidRDefault="0018246D" w:rsidP="0018246D">
      <w:pPr>
        <w:pStyle w:val="HB"/>
      </w:pPr>
      <w:r>
        <w:t>Avoiding mak</w:t>
      </w:r>
      <w:r w:rsidR="0075460C">
        <w:t>ing an admission of</w:t>
      </w:r>
      <w:r w:rsidR="005D01A0">
        <w:t xml:space="preserve"> liability</w:t>
      </w:r>
    </w:p>
    <w:p w:rsidR="00011391" w:rsidRDefault="007C519A" w:rsidP="00E1798A">
      <w:pPr>
        <w:pStyle w:val="ListBullet"/>
      </w:pPr>
      <w:r>
        <w:t xml:space="preserve">Whenever any committee member is </w:t>
      </w:r>
      <w:r w:rsidR="00011391">
        <w:t xml:space="preserve">responding to or investigating </w:t>
      </w:r>
      <w:r>
        <w:t xml:space="preserve">an incident under no circumstances should they admit liability. </w:t>
      </w:r>
    </w:p>
    <w:p w:rsidR="007C519A" w:rsidRDefault="00011391" w:rsidP="00E1798A">
      <w:pPr>
        <w:pStyle w:val="ListBullet"/>
      </w:pPr>
      <w:r>
        <w:t>An</w:t>
      </w:r>
      <w:r w:rsidR="007C519A">
        <w:t xml:space="preserve"> admission of liability can, in some circumstances, void the insurance policy. </w:t>
      </w:r>
    </w:p>
    <w:p w:rsidR="007C519A" w:rsidRDefault="007C519A" w:rsidP="00E1798A">
      <w:pPr>
        <w:pStyle w:val="ListBullet"/>
      </w:pPr>
      <w:r>
        <w:t>However, note that an apology couched in the right way will not constitute an admission of liability. Either of the following are ways of apologising without admitting liability:</w:t>
      </w:r>
    </w:p>
    <w:p w:rsidR="004E7DC7" w:rsidRDefault="007C519A" w:rsidP="004E7DC7">
      <w:pPr>
        <w:pStyle w:val="ListBullet2"/>
        <w:ind w:left="641" w:hanging="357"/>
      </w:pPr>
      <w:r>
        <w:t xml:space="preserve">"I am sorry this has happened." </w:t>
      </w:r>
    </w:p>
    <w:p w:rsidR="007C519A" w:rsidRDefault="007C519A" w:rsidP="004E7DC7">
      <w:pPr>
        <w:pStyle w:val="ListBullet2"/>
      </w:pPr>
      <w:r>
        <w:t>"I know this has caused you concern/pain/anxiety."</w:t>
      </w:r>
    </w:p>
    <w:p w:rsidR="00550F47" w:rsidRDefault="00550F47" w:rsidP="0018246D">
      <w:pPr>
        <w:pStyle w:val="HC"/>
      </w:pPr>
      <w:r>
        <w:t>Things to avoid</w:t>
      </w:r>
    </w:p>
    <w:p w:rsidR="007C519A" w:rsidRDefault="007C519A" w:rsidP="007C519A">
      <w:pPr>
        <w:pStyle w:val="Body"/>
      </w:pPr>
      <w:r>
        <w:t>To reduce the likelihood of unnecessary claims being made, there are a number of things that should not be done:</w:t>
      </w:r>
    </w:p>
    <w:p w:rsidR="007C519A" w:rsidRDefault="007C519A" w:rsidP="00E1798A">
      <w:pPr>
        <w:pStyle w:val="ListBullet"/>
      </w:pPr>
      <w:r>
        <w:t xml:space="preserve">Do not admit responsibility for any incident.  </w:t>
      </w:r>
    </w:p>
    <w:p w:rsidR="007C519A" w:rsidRDefault="007C519A" w:rsidP="00E1798A">
      <w:pPr>
        <w:pStyle w:val="ListBullet"/>
      </w:pPr>
      <w:r>
        <w:t xml:space="preserve">Do not offer to pay any medical or other expenses. </w:t>
      </w:r>
    </w:p>
    <w:p w:rsidR="007C519A" w:rsidRDefault="007C519A" w:rsidP="00E1798A">
      <w:pPr>
        <w:pStyle w:val="ListBullet"/>
      </w:pPr>
      <w:r>
        <w:t>Do not agree that any equipment or facilities were faulty.</w:t>
      </w:r>
    </w:p>
    <w:p w:rsidR="007C519A" w:rsidRDefault="007C519A" w:rsidP="00E1798A">
      <w:pPr>
        <w:pStyle w:val="ListBullet"/>
      </w:pPr>
      <w:r>
        <w:t>Do not blame other committee members, employees or other parties.</w:t>
      </w:r>
    </w:p>
    <w:p w:rsidR="007C519A" w:rsidRDefault="007C519A" w:rsidP="00E1798A">
      <w:pPr>
        <w:pStyle w:val="ListBullet"/>
      </w:pPr>
      <w:r>
        <w:t>Do not argue or discuss the cause of the incident with the injured person or witnesses.</w:t>
      </w:r>
    </w:p>
    <w:p w:rsidR="007C519A" w:rsidRDefault="007C519A" w:rsidP="00E1798A">
      <w:pPr>
        <w:pStyle w:val="ListBullet"/>
      </w:pPr>
      <w:r>
        <w:t>Do not conduct the investigation or fill out the incident report form in the presence of the injured person.</w:t>
      </w:r>
    </w:p>
    <w:p w:rsidR="007C519A" w:rsidRDefault="007C519A" w:rsidP="00E1798A">
      <w:pPr>
        <w:pStyle w:val="ListBullet"/>
      </w:pPr>
      <w:r>
        <w:t>Do not discuss the incident with the media or make statements about the incident prior to receiving instructions from DELWP Insurance Management.</w:t>
      </w:r>
    </w:p>
    <w:p w:rsidR="001F4C6B" w:rsidRDefault="001F4C6B" w:rsidP="00E1798A">
      <w:pPr>
        <w:rPr>
          <w:lang w:eastAsia="en-AU"/>
        </w:rPr>
      </w:pPr>
      <w:bookmarkStart w:id="37" w:name="_Toc380503677"/>
      <w:bookmarkStart w:id="38" w:name="_Toc382289745"/>
      <w:r>
        <w:br w:type="page"/>
      </w:r>
    </w:p>
    <w:p w:rsidR="001F4C6B" w:rsidRPr="00CF76CD" w:rsidRDefault="003A2DE5" w:rsidP="0018246D">
      <w:pPr>
        <w:pStyle w:val="HB"/>
      </w:pPr>
      <w:r>
        <w:t>Notify</w:t>
      </w:r>
      <w:r w:rsidR="0018246D">
        <w:t>ing</w:t>
      </w:r>
      <w:r w:rsidR="001F4C6B">
        <w:t xml:space="preserve"> DELWP of </w:t>
      </w:r>
      <w:r w:rsidR="00C26F9F">
        <w:t>an incident</w:t>
      </w:r>
    </w:p>
    <w:p w:rsidR="00986295" w:rsidRPr="001D7E04" w:rsidRDefault="001F4C6B" w:rsidP="008D1C53">
      <w:r w:rsidRPr="001D7E04">
        <w:t>It is important to notify</w:t>
      </w:r>
      <w:r w:rsidR="00986295">
        <w:t xml:space="preserve"> the</w:t>
      </w:r>
      <w:r w:rsidRPr="001D7E04">
        <w:t xml:space="preserve"> </w:t>
      </w:r>
      <w:hyperlink r:id="rId12" w:history="1">
        <w:r>
          <w:rPr>
            <w:rStyle w:val="Hyperlink"/>
          </w:rPr>
          <w:t>local DELWP office</w:t>
        </w:r>
      </w:hyperlink>
      <w:r w:rsidRPr="001D7E04">
        <w:t xml:space="preserve"> or </w:t>
      </w:r>
      <w:r>
        <w:t>DELWP</w:t>
      </w:r>
      <w:r w:rsidRPr="001D7E04">
        <w:t xml:space="preserve"> Insurance Management on 136 186 as soon as possible after an incident which has resulted in damage to</w:t>
      </w:r>
      <w:r w:rsidR="00986295">
        <w:t xml:space="preserve"> property or injury to a person whilst on a Crown land reserve or at an event organised by the committee, whether or not it occurs on Crown land.</w:t>
      </w:r>
    </w:p>
    <w:p w:rsidR="001F4C6B" w:rsidRPr="001D7E04" w:rsidRDefault="001F4C6B" w:rsidP="008D1C53">
      <w:r>
        <w:t>DELWP</w:t>
      </w:r>
      <w:r w:rsidRPr="001D7E04">
        <w:t xml:space="preserve"> will advise on the information needed to make a report of the incident which will be used if a formal claim for damages is made.  </w:t>
      </w:r>
      <w:r>
        <w:t>DELWP</w:t>
      </w:r>
      <w:r w:rsidRPr="001D7E04">
        <w:t xml:space="preserve"> will also provide a form to complete when compiling the incident report.</w:t>
      </w:r>
    </w:p>
    <w:p w:rsidR="001F4C6B" w:rsidRPr="001D7E04" w:rsidRDefault="001F4C6B" w:rsidP="008D1C53">
      <w:r w:rsidRPr="001D7E04">
        <w:t>An incident should always be reported at the time it occurs. A claim may not be made until many years after an incident has occurred, and it is important to gather reliable information.</w:t>
      </w:r>
    </w:p>
    <w:p w:rsidR="001F4C6B" w:rsidRPr="00083F18" w:rsidRDefault="001F4C6B" w:rsidP="0018246D">
      <w:pPr>
        <w:pStyle w:val="HC"/>
      </w:pPr>
      <w:r>
        <w:t>Incidents involving employees</w:t>
      </w:r>
    </w:p>
    <w:p w:rsidR="001F4C6B" w:rsidRDefault="001F4C6B" w:rsidP="001F4C6B">
      <w:r w:rsidRPr="00083F18">
        <w:t xml:space="preserve">Incidents that cause or could have caused </w:t>
      </w:r>
      <w:r>
        <w:t xml:space="preserve">(a near miss) </w:t>
      </w:r>
      <w:r w:rsidRPr="00083F18">
        <w:t xml:space="preserve">serious injury or death </w:t>
      </w:r>
      <w:r>
        <w:t xml:space="preserve">to an employee </w:t>
      </w:r>
      <w:r w:rsidRPr="00083F18">
        <w:t>must be reported to Wo</w:t>
      </w:r>
      <w:r>
        <w:t xml:space="preserve">rkSafe as soon as possible on 132 360. A </w:t>
      </w:r>
      <w:r w:rsidRPr="00083F18">
        <w:t xml:space="preserve">completed Incident Notification Form </w:t>
      </w:r>
      <w:r>
        <w:t xml:space="preserve">must be returned </w:t>
      </w:r>
      <w:r w:rsidRPr="00083F18">
        <w:t xml:space="preserve">to WorkSafe within 48 hours. </w:t>
      </w:r>
    </w:p>
    <w:p w:rsidR="007C519A" w:rsidRPr="00BA6D91" w:rsidRDefault="007C519A" w:rsidP="0018246D">
      <w:pPr>
        <w:pStyle w:val="HB"/>
      </w:pPr>
      <w:r w:rsidRPr="00BA6D91">
        <w:t xml:space="preserve">Investigating </w:t>
      </w:r>
      <w:bookmarkEnd w:id="37"/>
      <w:bookmarkEnd w:id="38"/>
      <w:r w:rsidR="006E569B">
        <w:t>an incident</w:t>
      </w:r>
    </w:p>
    <w:p w:rsidR="007C519A" w:rsidRPr="00647FB1" w:rsidRDefault="007C519A" w:rsidP="007C519A">
      <w:pPr>
        <w:pStyle w:val="Body"/>
      </w:pPr>
      <w:r w:rsidRPr="002F3D7B">
        <w:t xml:space="preserve">All incidents that are potential claims need </w:t>
      </w:r>
      <w:r>
        <w:t>to be</w:t>
      </w:r>
      <w:r w:rsidRPr="002F3D7B">
        <w:t xml:space="preserve"> </w:t>
      </w:r>
      <w:r>
        <w:t>investigated as</w:t>
      </w:r>
      <w:r w:rsidRPr="002F3D7B">
        <w:t xml:space="preserve"> soon as possible after they occur.</w:t>
      </w:r>
      <w:r>
        <w:t xml:space="preserve">  </w:t>
      </w:r>
      <w:r w:rsidRPr="00BA6D91">
        <w:t xml:space="preserve">The longer the time </w:t>
      </w:r>
      <w:r>
        <w:t>e</w:t>
      </w:r>
      <w:r w:rsidRPr="00BA6D91">
        <w:t>lapse</w:t>
      </w:r>
      <w:r>
        <w:t>d</w:t>
      </w:r>
      <w:r w:rsidRPr="00BA6D91">
        <w:t xml:space="preserve"> between the incident and the investigation, the less likely it is that information will be available or accurate.</w:t>
      </w:r>
      <w:r>
        <w:t xml:space="preserve"> </w:t>
      </w:r>
      <w:r w:rsidR="00E40D9F">
        <w:t xml:space="preserve"> </w:t>
      </w:r>
      <w:r w:rsidRPr="00647FB1">
        <w:t xml:space="preserve">The committee’s responsibility is to </w:t>
      </w:r>
      <w:r>
        <w:t>gather</w:t>
      </w:r>
      <w:r w:rsidRPr="00FE3A9B">
        <w:t xml:space="preserve"> the facts of the case so that </w:t>
      </w:r>
      <w:r>
        <w:t>DELWP</w:t>
      </w:r>
      <w:r w:rsidRPr="00FE3A9B">
        <w:t xml:space="preserve"> can consider whether there is a liability at law, or whether </w:t>
      </w:r>
      <w:r>
        <w:t>liability is with</w:t>
      </w:r>
      <w:r w:rsidRPr="00FE3A9B">
        <w:t xml:space="preserve"> another authority or person.</w:t>
      </w:r>
      <w:r>
        <w:t xml:space="preserve"> </w:t>
      </w:r>
      <w:r w:rsidR="00E40D9F">
        <w:t xml:space="preserve"> </w:t>
      </w:r>
      <w:r w:rsidRPr="00647FB1">
        <w:t>Information to collect includes:</w:t>
      </w:r>
    </w:p>
    <w:p w:rsidR="007C519A" w:rsidRDefault="007C519A" w:rsidP="00E1798A">
      <w:pPr>
        <w:pStyle w:val="ListBullet"/>
      </w:pPr>
      <w:r>
        <w:t xml:space="preserve">the possible claimant’s name and address </w:t>
      </w:r>
    </w:p>
    <w:p w:rsidR="007C519A" w:rsidRDefault="007C519A" w:rsidP="00E1798A">
      <w:pPr>
        <w:pStyle w:val="ListBullet"/>
      </w:pPr>
      <w:r>
        <w:t>any witnesses’ names and addresses</w:t>
      </w:r>
    </w:p>
    <w:p w:rsidR="007C519A" w:rsidRDefault="007C519A" w:rsidP="00E1798A">
      <w:pPr>
        <w:pStyle w:val="ListBullet"/>
      </w:pPr>
      <w:r>
        <w:t>incident particulars (what happened)</w:t>
      </w:r>
    </w:p>
    <w:p w:rsidR="007C519A" w:rsidRDefault="007C519A" w:rsidP="00E1798A">
      <w:pPr>
        <w:pStyle w:val="ListBullet"/>
      </w:pPr>
      <w:r>
        <w:t xml:space="preserve">nature of the injury or extent of damage </w:t>
      </w:r>
    </w:p>
    <w:p w:rsidR="007C519A" w:rsidRPr="00FE3A9B" w:rsidRDefault="007C519A" w:rsidP="00E1798A">
      <w:pPr>
        <w:pStyle w:val="ListBullet"/>
      </w:pPr>
      <w:r w:rsidRPr="00FE3A9B">
        <w:t>photos of the area where the incident took place</w:t>
      </w:r>
      <w:r>
        <w:t>,</w:t>
      </w:r>
      <w:r w:rsidRPr="00FE3A9B">
        <w:t xml:space="preserve"> or </w:t>
      </w:r>
      <w:r>
        <w:t>photos of the damaged property or injury.</w:t>
      </w:r>
    </w:p>
    <w:p w:rsidR="007C519A" w:rsidRPr="00E82FC7" w:rsidRDefault="007C519A" w:rsidP="008D1C53">
      <w:r w:rsidRPr="00647FB1">
        <w:t xml:space="preserve">When new information or witnesses are found at any time after the incident, </w:t>
      </w:r>
      <w:r>
        <w:t>DELWP</w:t>
      </w:r>
      <w:r w:rsidRPr="00647FB1">
        <w:t xml:space="preserve"> </w:t>
      </w:r>
      <w:r>
        <w:t>Insurance Management</w:t>
      </w:r>
      <w:r w:rsidRPr="00647FB1">
        <w:t xml:space="preserve"> </w:t>
      </w:r>
      <w:r>
        <w:t xml:space="preserve">should be notified </w:t>
      </w:r>
      <w:r w:rsidRPr="00647FB1">
        <w:t>as soon as possible</w:t>
      </w:r>
      <w:r>
        <w:t xml:space="preserve"> on 136 186</w:t>
      </w:r>
      <w:r w:rsidRPr="00647FB1">
        <w:t>.</w:t>
      </w:r>
    </w:p>
    <w:p w:rsidR="007C519A" w:rsidRPr="002F3D7B" w:rsidRDefault="00550F47" w:rsidP="00E40D9F">
      <w:pPr>
        <w:pStyle w:val="HB"/>
      </w:pPr>
      <w:r>
        <w:t>Formal c</w:t>
      </w:r>
      <w:r w:rsidR="007C519A">
        <w:t>laims made against the committee</w:t>
      </w:r>
    </w:p>
    <w:p w:rsidR="007C519A" w:rsidRDefault="007C519A" w:rsidP="008D1C53">
      <w:r w:rsidRPr="00BE769D">
        <w:rPr>
          <w:noProof/>
          <w:lang w:eastAsia="en-AU"/>
        </w:rPr>
        <mc:AlternateContent>
          <mc:Choice Requires="wps">
            <w:drawing>
              <wp:anchor distT="45720" distB="45720" distL="114300" distR="114300" simplePos="0" relativeHeight="251661312" behindDoc="0" locked="0" layoutInCell="1" allowOverlap="1" wp14:anchorId="39C53DB1" wp14:editId="5EDC7296">
                <wp:simplePos x="0" y="0"/>
                <wp:positionH relativeFrom="column">
                  <wp:posOffset>4189730</wp:posOffset>
                </wp:positionH>
                <wp:positionV relativeFrom="paragraph">
                  <wp:posOffset>337820</wp:posOffset>
                </wp:positionV>
                <wp:extent cx="2224405" cy="1146175"/>
                <wp:effectExtent l="0" t="0" r="4445"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14617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9A" w:rsidRDefault="007C519A" w:rsidP="007C519A">
                            <w:pPr>
                              <w:pStyle w:val="Body"/>
                              <w:rPr>
                                <w:b/>
                              </w:rPr>
                            </w:pPr>
                            <w:r>
                              <w:rPr>
                                <w:b/>
                              </w:rPr>
                              <w:t>DELWP Insurance contact details:</w:t>
                            </w:r>
                          </w:p>
                          <w:p w:rsidR="007C519A" w:rsidRPr="004D3679" w:rsidRDefault="007C519A" w:rsidP="007C519A">
                            <w:pPr>
                              <w:pStyle w:val="Body"/>
                            </w:pPr>
                            <w:r w:rsidRPr="004D3679">
                              <w:t>Senior Claims Officer</w:t>
                            </w:r>
                          </w:p>
                          <w:p w:rsidR="007C519A" w:rsidRDefault="007C519A" w:rsidP="007C519A">
                            <w:pPr>
                              <w:pStyle w:val="Body"/>
                              <w:spacing w:after="0"/>
                            </w:pPr>
                            <w:r>
                              <w:t>DELWP</w:t>
                            </w:r>
                            <w:r w:rsidRPr="00736594">
                              <w:t xml:space="preserve"> Insurance Management Unit</w:t>
                            </w:r>
                          </w:p>
                          <w:p w:rsidR="007C519A" w:rsidRDefault="007C519A" w:rsidP="007C519A">
                            <w:pPr>
                              <w:pStyle w:val="Body"/>
                              <w:spacing w:after="0"/>
                            </w:pPr>
                            <w:r w:rsidRPr="00736594">
                              <w:t>PO Box 500</w:t>
                            </w:r>
                          </w:p>
                          <w:p w:rsidR="007C519A" w:rsidRPr="00736594" w:rsidRDefault="007C519A" w:rsidP="007C519A">
                            <w:pPr>
                              <w:pStyle w:val="Body"/>
                              <w:spacing w:after="0"/>
                            </w:pPr>
                            <w:r w:rsidRPr="00736594">
                              <w:t>MELBOURNE VIC 3002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9pt;margin-top:26.6pt;width:175.15pt;height:9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" fillcolor="#dcddde" stroked="f">
                <v:textbox>
                  <w:txbxContent>
                    <w:p w:rsidR="007C519A" w:rsidRDefault="007C519A" w:rsidP="007C519A">
                      <w:pPr>
                        <w:pStyle w:val="Body"/>
                        <w:rPr>
                          <w:b/>
                        </w:rPr>
                      </w:pPr>
                      <w:r>
                        <w:rPr>
                          <w:b/>
                        </w:rPr>
                        <w:t>DELWP Insurance contact details:</w:t>
                      </w:r>
                    </w:p>
                    <w:p w:rsidR="007C519A" w:rsidRPr="004D3679" w:rsidRDefault="007C519A" w:rsidP="007C519A">
                      <w:pPr>
                        <w:pStyle w:val="Body"/>
                      </w:pPr>
                      <w:r w:rsidRPr="004D3679">
                        <w:t>Senior Claims Officer</w:t>
                      </w:r>
                    </w:p>
                    <w:p w:rsidR="007C519A" w:rsidRDefault="007C519A" w:rsidP="007C519A">
                      <w:pPr>
                        <w:pStyle w:val="Body"/>
                        <w:spacing w:after="0"/>
                      </w:pPr>
                      <w:r>
                        <w:t>DELWP</w:t>
                      </w:r>
                      <w:r w:rsidRPr="00736594">
                        <w:t xml:space="preserve"> Insurance Management Unit</w:t>
                      </w:r>
                    </w:p>
                    <w:p w:rsidR="007C519A" w:rsidRDefault="007C519A" w:rsidP="007C519A">
                      <w:pPr>
                        <w:pStyle w:val="Body"/>
                        <w:spacing w:after="0"/>
                      </w:pPr>
                      <w:r w:rsidRPr="00736594">
                        <w:t>PO Box 500</w:t>
                      </w:r>
                    </w:p>
                    <w:p w:rsidR="007C519A" w:rsidRPr="00736594" w:rsidRDefault="007C519A" w:rsidP="007C519A">
                      <w:pPr>
                        <w:pStyle w:val="Body"/>
                        <w:spacing w:after="0"/>
                      </w:pPr>
                      <w:r w:rsidRPr="00736594">
                        <w:t>MELBOURNE VIC 3002</w:t>
                      </w:r>
                    </w:p>
                  </w:txbxContent>
                </v:textbox>
                <w10:wrap type="square"/>
              </v:shape>
            </w:pict>
          </mc:Fallback>
        </mc:AlternateContent>
      </w:r>
      <w:r>
        <w:t xml:space="preserve">A formal claim for compensation is usually lodged in writing or by a writ or statement of claim. Make a note of how the letter or claim arrived. Was it by mail or hand delivered? If by hand, who delivered it? </w:t>
      </w:r>
    </w:p>
    <w:p w:rsidR="007C519A" w:rsidRDefault="007C519A" w:rsidP="008D1C53">
      <w:r>
        <w:t xml:space="preserve">Do not make any remarks or comments about the incident to any person who delivered the letter or claim. Do not reply to any letter or claim. </w:t>
      </w:r>
    </w:p>
    <w:p w:rsidR="007C519A" w:rsidRDefault="007C519A" w:rsidP="008D1C53">
      <w:r>
        <w:t>Send the letter, writ or statement of claim and the incident report, including any names of witnesses and any notes or photos relating to the incident to DELWP Insurance (see contact details).</w:t>
      </w:r>
    </w:p>
    <w:p w:rsidR="004B7E11" w:rsidRDefault="007C519A" w:rsidP="008D1C53">
      <w:r>
        <w:t xml:space="preserve">Call DELWP Insurance Management on 136 186 to discuss the next steps. </w:t>
      </w:r>
      <w:bookmarkEnd w:id="33"/>
      <w:bookmarkEnd w:id="34"/>
    </w:p>
    <w:sectPr w:rsidR="004B7E11" w:rsidSect="00E82FC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08" w:rsidRDefault="00246208" w:rsidP="00246208">
      <w:pPr>
        <w:spacing w:after="0" w:line="240" w:lineRule="auto"/>
      </w:pPr>
      <w:r>
        <w:separator/>
      </w:r>
    </w:p>
  </w:endnote>
  <w:endnote w:type="continuationSeparator" w:id="0">
    <w:p w:rsidR="00246208" w:rsidRDefault="00246208" w:rsidP="0024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14" w:rsidRDefault="00A60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03005"/>
      <w:docPartObj>
        <w:docPartGallery w:val="Page Numbers (Bottom of Page)"/>
        <w:docPartUnique/>
      </w:docPartObj>
    </w:sdtPr>
    <w:sdtEndPr>
      <w:rPr>
        <w:i/>
        <w:sz w:val="12"/>
        <w:szCs w:val="12"/>
      </w:rPr>
    </w:sdtEndPr>
    <w:sdtContent>
      <w:p w:rsidR="00F675AE" w:rsidRDefault="00200660" w:rsidP="00717561">
        <w:pPr>
          <w:pStyle w:val="Footerinarial8"/>
          <w:tabs>
            <w:tab w:val="clear" w:pos="993"/>
            <w:tab w:val="left" w:pos="1418"/>
            <w:tab w:val="left" w:pos="6237"/>
          </w:tabs>
          <w:spacing w:before="0"/>
          <w:rPr>
            <w:noProof/>
          </w:rPr>
        </w:pPr>
        <w:r>
          <w:rPr>
            <w:i/>
            <w:noProof/>
            <w:sz w:val="12"/>
            <w:szCs w:val="12"/>
          </w:rPr>
          <w:t>11.</w:t>
        </w:r>
        <w:r w:rsidR="00CA3AA8">
          <w:rPr>
            <w:i/>
            <w:noProof/>
            <w:sz w:val="12"/>
            <w:szCs w:val="12"/>
          </w:rPr>
          <w:t>0</w:t>
        </w:r>
        <w:r w:rsidR="00717561">
          <w:rPr>
            <w:i/>
            <w:noProof/>
            <w:sz w:val="12"/>
            <w:szCs w:val="12"/>
          </w:rPr>
          <w:t>8</w:t>
        </w:r>
        <w:r>
          <w:rPr>
            <w:noProof/>
          </w:rPr>
          <w:tab/>
          <w:t xml:space="preserve">Chapter 11 – Insurance </w:t>
        </w:r>
        <w:r>
          <w:rPr>
            <w:noProof/>
          </w:rPr>
          <w:tab/>
          <w:t xml:space="preserve">Page </w:t>
        </w:r>
        <w:r w:rsidRPr="008A5803">
          <w:fldChar w:fldCharType="begin"/>
        </w:r>
        <w:r w:rsidRPr="008A5803">
          <w:instrText xml:space="preserve"> PAGE   \* MERGEFORMAT </w:instrText>
        </w:r>
        <w:r w:rsidRPr="008A5803">
          <w:fldChar w:fldCharType="separate"/>
        </w:r>
        <w:r w:rsidR="00AE6335">
          <w:rPr>
            <w:noProof/>
          </w:rPr>
          <w:t>5</w:t>
        </w:r>
        <w:r w:rsidRPr="008A5803">
          <w:rPr>
            <w:noProof/>
          </w:rPr>
          <w:fldChar w:fldCharType="end"/>
        </w:r>
        <w:r w:rsidRPr="008A5803">
          <w:rPr>
            <w:noProof/>
          </w:rPr>
          <w:t xml:space="preserve"> of </w:t>
        </w:r>
        <w:r w:rsidRPr="008A5803">
          <w:rPr>
            <w:noProof/>
          </w:rPr>
          <w:fldChar w:fldCharType="begin"/>
        </w:r>
        <w:r w:rsidRPr="008A5803">
          <w:rPr>
            <w:noProof/>
          </w:rPr>
          <w:instrText xml:space="preserve"> NUMPAGES   \* MERGEFORMAT </w:instrText>
        </w:r>
        <w:r w:rsidRPr="008A5803">
          <w:rPr>
            <w:noProof/>
          </w:rPr>
          <w:fldChar w:fldCharType="separate"/>
        </w:r>
        <w:r w:rsidR="00AE6335">
          <w:rPr>
            <w:noProof/>
          </w:rPr>
          <w:t>5</w:t>
        </w:r>
        <w:r w:rsidRPr="008A5803">
          <w:rPr>
            <w:noProof/>
          </w:rPr>
          <w:fldChar w:fldCharType="end"/>
        </w:r>
        <w:r>
          <w:rPr>
            <w:noProof/>
          </w:rPr>
          <w:tab/>
        </w:r>
        <w:r>
          <w:rPr>
            <w:noProof/>
          </w:rPr>
          <w:tab/>
        </w:r>
        <w:r w:rsidR="00717561">
          <w:rPr>
            <w:noProof/>
            <w:szCs w:val="16"/>
          </w:rPr>
          <w:tab/>
          <w:t>Last updated: 1 November 2015</w:t>
        </w:r>
      </w:p>
      <w:p w:rsidR="00246208" w:rsidRPr="00200660" w:rsidRDefault="00AE6335" w:rsidP="00200660">
        <w:pPr>
          <w:pStyle w:val="Footerinarial8"/>
          <w:tabs>
            <w:tab w:val="clear" w:pos="993"/>
            <w:tab w:val="left" w:pos="1418"/>
          </w:tabs>
          <w:spacing w:before="0"/>
          <w:rPr>
            <w:i/>
            <w:sz w:val="12"/>
            <w:szCs w:val="1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14" w:rsidRDefault="00A60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08" w:rsidRDefault="00246208" w:rsidP="00246208">
      <w:pPr>
        <w:spacing w:after="0" w:line="240" w:lineRule="auto"/>
      </w:pPr>
      <w:r>
        <w:separator/>
      </w:r>
    </w:p>
  </w:footnote>
  <w:footnote w:type="continuationSeparator" w:id="0">
    <w:p w:rsidR="00246208" w:rsidRDefault="00246208" w:rsidP="0024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14" w:rsidRDefault="00A60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AF" w:rsidRDefault="00E82FC7">
    <w:pPr>
      <w:pStyle w:val="Header"/>
      <w:rPr>
        <w:i/>
      </w:rPr>
    </w:pPr>
    <w:r w:rsidRPr="00E82FC7">
      <w:rPr>
        <w:i/>
      </w:rPr>
      <w:t>Committees of Management Responsibilities and Good Practice Guidelines 2015</w:t>
    </w:r>
  </w:p>
  <w:p w:rsidR="00E82FC7" w:rsidRDefault="00E82FC7">
    <w:pPr>
      <w:pStyle w:val="Header"/>
      <w:rPr>
        <w:i/>
      </w:rPr>
    </w:pPr>
  </w:p>
  <w:p w:rsidR="00E82FC7" w:rsidRDefault="00E82FC7">
    <w:pPr>
      <w:pStyle w:val="Header"/>
      <w:rPr>
        <w:i/>
      </w:rPr>
    </w:pPr>
  </w:p>
  <w:p w:rsidR="00E82FC7" w:rsidRDefault="00E82FC7">
    <w:pPr>
      <w:pStyle w:val="Header"/>
      <w:rPr>
        <w:i/>
      </w:rPr>
    </w:pPr>
  </w:p>
  <w:p w:rsidR="00E82FC7" w:rsidRPr="00E82FC7" w:rsidRDefault="00E82FC7">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14" w:rsidRDefault="00A60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2">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73479"/>
    <w:multiLevelType w:val="hybridMultilevel"/>
    <w:tmpl w:val="91C4A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03770CA"/>
    <w:multiLevelType w:val="hybridMultilevel"/>
    <w:tmpl w:val="76A2872A"/>
    <w:lvl w:ilvl="0" w:tplc="746828D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0"/>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08"/>
    <w:rsid w:val="00011391"/>
    <w:rsid w:val="00075BB3"/>
    <w:rsid w:val="0008112C"/>
    <w:rsid w:val="0008474A"/>
    <w:rsid w:val="00086787"/>
    <w:rsid w:val="000C0CD0"/>
    <w:rsid w:val="000C7C11"/>
    <w:rsid w:val="00131476"/>
    <w:rsid w:val="00143594"/>
    <w:rsid w:val="0018246D"/>
    <w:rsid w:val="001F4C6B"/>
    <w:rsid w:val="00200660"/>
    <w:rsid w:val="00246208"/>
    <w:rsid w:val="002B4009"/>
    <w:rsid w:val="002D76EF"/>
    <w:rsid w:val="002E14D6"/>
    <w:rsid w:val="0032668F"/>
    <w:rsid w:val="00354A93"/>
    <w:rsid w:val="00357929"/>
    <w:rsid w:val="00365E59"/>
    <w:rsid w:val="0038100C"/>
    <w:rsid w:val="003A1BDD"/>
    <w:rsid w:val="003A2DE5"/>
    <w:rsid w:val="003D0E2E"/>
    <w:rsid w:val="003F10B1"/>
    <w:rsid w:val="00413619"/>
    <w:rsid w:val="004B7E11"/>
    <w:rsid w:val="004D0F93"/>
    <w:rsid w:val="004E7DC7"/>
    <w:rsid w:val="004F78F9"/>
    <w:rsid w:val="00537B5B"/>
    <w:rsid w:val="00550F47"/>
    <w:rsid w:val="005751E2"/>
    <w:rsid w:val="005B1AC0"/>
    <w:rsid w:val="005D01A0"/>
    <w:rsid w:val="005F6F6F"/>
    <w:rsid w:val="00603765"/>
    <w:rsid w:val="006202BA"/>
    <w:rsid w:val="006E569B"/>
    <w:rsid w:val="007032DD"/>
    <w:rsid w:val="00717561"/>
    <w:rsid w:val="007317A3"/>
    <w:rsid w:val="00750139"/>
    <w:rsid w:val="0075460C"/>
    <w:rsid w:val="007A6D47"/>
    <w:rsid w:val="007B59DB"/>
    <w:rsid w:val="007C519A"/>
    <w:rsid w:val="007C58CD"/>
    <w:rsid w:val="007D175D"/>
    <w:rsid w:val="00823EA0"/>
    <w:rsid w:val="00840E1B"/>
    <w:rsid w:val="008A2809"/>
    <w:rsid w:val="008A75CB"/>
    <w:rsid w:val="008D1C53"/>
    <w:rsid w:val="008D6E28"/>
    <w:rsid w:val="008E580C"/>
    <w:rsid w:val="00916DF9"/>
    <w:rsid w:val="00986295"/>
    <w:rsid w:val="009C73BF"/>
    <w:rsid w:val="009F1F28"/>
    <w:rsid w:val="00A43896"/>
    <w:rsid w:val="00A60414"/>
    <w:rsid w:val="00A66048"/>
    <w:rsid w:val="00A7495E"/>
    <w:rsid w:val="00A7740F"/>
    <w:rsid w:val="00AD43CC"/>
    <w:rsid w:val="00AE6335"/>
    <w:rsid w:val="00B11DD1"/>
    <w:rsid w:val="00BC7B92"/>
    <w:rsid w:val="00BD0210"/>
    <w:rsid w:val="00C1493A"/>
    <w:rsid w:val="00C26F9F"/>
    <w:rsid w:val="00C5376C"/>
    <w:rsid w:val="00CA3AA8"/>
    <w:rsid w:val="00D612AF"/>
    <w:rsid w:val="00D75741"/>
    <w:rsid w:val="00DD1751"/>
    <w:rsid w:val="00DD5829"/>
    <w:rsid w:val="00DD7190"/>
    <w:rsid w:val="00DF03EA"/>
    <w:rsid w:val="00E11CAF"/>
    <w:rsid w:val="00E1798A"/>
    <w:rsid w:val="00E279E8"/>
    <w:rsid w:val="00E34B64"/>
    <w:rsid w:val="00E40D9F"/>
    <w:rsid w:val="00E45540"/>
    <w:rsid w:val="00E62455"/>
    <w:rsid w:val="00E82FC7"/>
    <w:rsid w:val="00E85CED"/>
    <w:rsid w:val="00E9285E"/>
    <w:rsid w:val="00EC7191"/>
    <w:rsid w:val="00EE79CE"/>
    <w:rsid w:val="00F60281"/>
    <w:rsid w:val="00F67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24620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131476"/>
    <w:pPr>
      <w:spacing w:before="300"/>
      <w:outlineLvl w:val="1"/>
    </w:pPr>
    <w:rPr>
      <w:sz w:val="28"/>
      <w:lang w:eastAsia="en-AU"/>
    </w:rPr>
  </w:style>
  <w:style w:type="paragraph" w:styleId="Heading3">
    <w:name w:val="heading 3"/>
    <w:basedOn w:val="Normal"/>
    <w:next w:val="Normal"/>
    <w:link w:val="Heading3Char"/>
    <w:qFormat/>
    <w:rsid w:val="00131476"/>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131476"/>
    <w:rPr>
      <w:rFonts w:ascii="Arial" w:hAnsi="Arial" w:cs="Arial"/>
      <w:b/>
      <w:color w:val="228591"/>
      <w:sz w:val="28"/>
      <w:szCs w:val="24"/>
    </w:rPr>
  </w:style>
  <w:style w:type="character" w:customStyle="1" w:styleId="Heading3Char">
    <w:name w:val="Heading 3 Char"/>
    <w:basedOn w:val="DefaultParagraphFont"/>
    <w:link w:val="Heading3"/>
    <w:rsid w:val="00131476"/>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131476"/>
    <w:pPr>
      <w:spacing w:before="240" w:after="60"/>
      <w:jc w:val="center"/>
      <w:outlineLvl w:val="0"/>
    </w:pPr>
    <w:rPr>
      <w:b/>
      <w:bCs/>
      <w:kern w:val="28"/>
      <w:sz w:val="32"/>
      <w:szCs w:val="32"/>
    </w:rPr>
  </w:style>
  <w:style w:type="character" w:customStyle="1" w:styleId="TitleChar">
    <w:name w:val="Title Char"/>
    <w:basedOn w:val="DefaultParagraphFont"/>
    <w:link w:val="Title"/>
    <w:rsid w:val="00131476"/>
    <w:rPr>
      <w:rFonts w:ascii="Arial" w:hAnsi="Arial" w:cs="Arial"/>
      <w:b/>
      <w:bCs/>
      <w:kern w:val="28"/>
      <w:sz w:val="32"/>
      <w:szCs w:val="32"/>
      <w:lang w:eastAsia="en-US"/>
    </w:rPr>
  </w:style>
  <w:style w:type="paragraph" w:styleId="Subtitle">
    <w:name w:val="Subtitle"/>
    <w:basedOn w:val="Normal"/>
    <w:link w:val="SubtitleChar"/>
    <w:unhideWhenUsed/>
    <w:qFormat/>
    <w:rsid w:val="00131476"/>
    <w:pPr>
      <w:spacing w:after="60"/>
      <w:jc w:val="center"/>
      <w:outlineLvl w:val="1"/>
    </w:pPr>
    <w:rPr>
      <w:sz w:val="24"/>
    </w:rPr>
  </w:style>
  <w:style w:type="character" w:customStyle="1" w:styleId="SubtitleChar">
    <w:name w:val="Subtitle Char"/>
    <w:basedOn w:val="DefaultParagraphFont"/>
    <w:link w:val="Subtitle"/>
    <w:rsid w:val="00131476"/>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131476"/>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131476"/>
    <w:pPr>
      <w:numPr>
        <w:numId w:val="9"/>
      </w:numPr>
      <w:tabs>
        <w:tab w:val="left" w:pos="284"/>
      </w:tabs>
    </w:pPr>
    <w:rPr>
      <w:color w:val="419997"/>
      <w:sz w:val="23"/>
      <w:szCs w:val="23"/>
    </w:rPr>
  </w:style>
  <w:style w:type="character" w:customStyle="1" w:styleId="BulletChar">
    <w:name w:val="_Bullet Char"/>
    <w:link w:val="Bullet"/>
    <w:rsid w:val="00131476"/>
    <w:rPr>
      <w:rFonts w:ascii="Arial" w:hAnsi="Arial" w:cs="Arial"/>
      <w:color w:val="419997"/>
      <w:sz w:val="23"/>
      <w:szCs w:val="23"/>
      <w:lang w:eastAsia="en-US"/>
    </w:rPr>
  </w:style>
  <w:style w:type="paragraph" w:customStyle="1" w:styleId="HA">
    <w:name w:val="_HA"/>
    <w:next w:val="Body"/>
    <w:uiPriority w:val="2"/>
    <w:qFormat/>
    <w:rsid w:val="00131476"/>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131476"/>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131476"/>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246208"/>
    <w:pPr>
      <w:spacing w:before="57" w:line="220" w:lineRule="atLeast"/>
    </w:pPr>
    <w:rPr>
      <w:rFonts w:ascii="Arial" w:hAnsi="Arial" w:cs="Arial"/>
      <w:b/>
      <w:sz w:val="18"/>
      <w:szCs w:val="24"/>
      <w:lang w:eastAsia="en-US"/>
    </w:rPr>
  </w:style>
  <w:style w:type="paragraph" w:customStyle="1" w:styleId="Pullout">
    <w:name w:val="_Pullout"/>
    <w:qFormat/>
    <w:rsid w:val="00131476"/>
    <w:pPr>
      <w:spacing w:before="85" w:after="170" w:line="300" w:lineRule="atLeast"/>
    </w:pPr>
    <w:rPr>
      <w:rFonts w:ascii="Arial" w:hAnsi="Arial" w:cs="Arial"/>
      <w:color w:val="419997"/>
      <w:sz w:val="23"/>
      <w:szCs w:val="24"/>
      <w:lang w:eastAsia="en-US"/>
    </w:rPr>
  </w:style>
  <w:style w:type="character" w:styleId="Hyperlink">
    <w:name w:val="Hyperlink"/>
    <w:uiPriority w:val="99"/>
    <w:rsid w:val="00246208"/>
    <w:rPr>
      <w:color w:val="0000FF"/>
      <w:u w:val="single"/>
    </w:rPr>
  </w:style>
  <w:style w:type="paragraph" w:customStyle="1" w:styleId="DEPINormal">
    <w:name w:val="DEPINormal"/>
    <w:basedOn w:val="Normal"/>
    <w:link w:val="DEPINormalChar"/>
    <w:rsid w:val="00246208"/>
    <w:pPr>
      <w:widowControl w:val="0"/>
      <w:suppressAutoHyphens/>
      <w:autoSpaceDE w:val="0"/>
      <w:autoSpaceDN w:val="0"/>
      <w:adjustRightInd w:val="0"/>
      <w:textAlignment w:val="center"/>
    </w:pPr>
    <w:rPr>
      <w:rFonts w:ascii="Frutiger-Light" w:hAnsi="Frutiger-Light" w:cs="Frutiger-Light"/>
      <w:color w:val="1C1E1F"/>
      <w:sz w:val="17"/>
      <w:szCs w:val="17"/>
      <w:lang w:val="en-GB"/>
    </w:rPr>
  </w:style>
  <w:style w:type="character" w:customStyle="1" w:styleId="DEPINormalChar">
    <w:name w:val="DEPINormal Char"/>
    <w:link w:val="DEPINormal"/>
    <w:rsid w:val="00246208"/>
    <w:rPr>
      <w:rFonts w:ascii="Frutiger-Light" w:hAnsi="Frutiger-Light" w:cs="Frutiger-Light"/>
      <w:color w:val="1C1E1F"/>
      <w:sz w:val="17"/>
      <w:szCs w:val="17"/>
      <w:lang w:val="en-GB" w:eastAsia="en-US"/>
    </w:rPr>
  </w:style>
  <w:style w:type="table" w:styleId="LightList">
    <w:name w:val="Light List"/>
    <w:basedOn w:val="TableNormal"/>
    <w:uiPriority w:val="61"/>
    <w:rsid w:val="002462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24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208"/>
    <w:rPr>
      <w:rFonts w:ascii="Arial" w:hAnsi="Arial" w:cs="Arial"/>
      <w:sz w:val="18"/>
      <w:szCs w:val="24"/>
      <w:lang w:eastAsia="en-US"/>
    </w:rPr>
  </w:style>
  <w:style w:type="paragraph" w:styleId="Footer">
    <w:name w:val="footer"/>
    <w:basedOn w:val="Normal"/>
    <w:link w:val="FooterChar"/>
    <w:uiPriority w:val="99"/>
    <w:unhideWhenUsed/>
    <w:rsid w:val="00246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208"/>
    <w:rPr>
      <w:rFonts w:ascii="Arial" w:hAnsi="Arial" w:cs="Arial"/>
      <w:sz w:val="18"/>
      <w:szCs w:val="24"/>
      <w:lang w:eastAsia="en-US"/>
    </w:rPr>
  </w:style>
  <w:style w:type="paragraph" w:customStyle="1" w:styleId="zFooter">
    <w:name w:val="_zFooter"/>
    <w:uiPriority w:val="99"/>
    <w:rsid w:val="00246208"/>
    <w:pPr>
      <w:tabs>
        <w:tab w:val="right" w:pos="9639"/>
      </w:tabs>
      <w:jc w:val="center"/>
    </w:pPr>
    <w:rPr>
      <w:rFonts w:ascii="Arial" w:hAnsi="Arial"/>
      <w:sz w:val="14"/>
      <w:szCs w:val="24"/>
      <w:lang w:eastAsia="en-US"/>
    </w:rPr>
  </w:style>
  <w:style w:type="character" w:customStyle="1" w:styleId="zRptPgNum">
    <w:name w:val="_zRptPgNum"/>
    <w:uiPriority w:val="99"/>
    <w:rsid w:val="00246208"/>
    <w:rPr>
      <w:color w:val="F58426"/>
    </w:rPr>
  </w:style>
  <w:style w:type="paragraph" w:styleId="BalloonText">
    <w:name w:val="Balloon Text"/>
    <w:basedOn w:val="Normal"/>
    <w:link w:val="BalloonTextChar"/>
    <w:uiPriority w:val="99"/>
    <w:semiHidden/>
    <w:unhideWhenUsed/>
    <w:rsid w:val="008A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CB"/>
    <w:rPr>
      <w:rFonts w:ascii="Tahoma" w:hAnsi="Tahoma" w:cs="Tahoma"/>
      <w:sz w:val="16"/>
      <w:szCs w:val="16"/>
      <w:lang w:eastAsia="en-US"/>
    </w:rPr>
  </w:style>
  <w:style w:type="character" w:styleId="FollowedHyperlink">
    <w:name w:val="FollowedHyperlink"/>
    <w:basedOn w:val="DefaultParagraphFont"/>
    <w:uiPriority w:val="99"/>
    <w:semiHidden/>
    <w:unhideWhenUsed/>
    <w:rsid w:val="005B1AC0"/>
    <w:rPr>
      <w:color w:val="800080" w:themeColor="followedHyperlink"/>
      <w:u w:val="single"/>
    </w:rPr>
  </w:style>
  <w:style w:type="paragraph" w:customStyle="1" w:styleId="Footerinarial8">
    <w:name w:val="Footer in arial 8"/>
    <w:basedOn w:val="Normal"/>
    <w:rsid w:val="00200660"/>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131476"/>
    <w:pPr>
      <w:numPr>
        <w:numId w:val="6"/>
      </w:numPr>
    </w:pPr>
  </w:style>
  <w:style w:type="paragraph" w:styleId="ListBullet2">
    <w:name w:val="List Bullet 2"/>
    <w:basedOn w:val="Normal"/>
    <w:uiPriority w:val="99"/>
    <w:qFormat/>
    <w:rsid w:val="00131476"/>
    <w:pPr>
      <w:numPr>
        <w:numId w:val="7"/>
      </w:numPr>
    </w:pPr>
  </w:style>
  <w:style w:type="paragraph" w:customStyle="1" w:styleId="pulloutdotpoint">
    <w:name w:val="pullout dot point"/>
    <w:basedOn w:val="ListBullet"/>
    <w:uiPriority w:val="9"/>
    <w:qFormat/>
    <w:rsid w:val="00131476"/>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131476"/>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131476"/>
    <w:pPr>
      <w:spacing w:before="50" w:after="50"/>
      <w:jc w:val="center"/>
    </w:pPr>
    <w:rPr>
      <w:color w:val="798D28"/>
      <w:spacing w:val="-2"/>
      <w:sz w:val="32"/>
      <w:szCs w:val="32"/>
    </w:rPr>
  </w:style>
  <w:style w:type="character" w:customStyle="1" w:styleId="TableBodyText-Italics">
    <w:name w:val="Table Body Text - Italics"/>
    <w:semiHidden/>
    <w:unhideWhenUsed/>
    <w:qFormat/>
    <w:rsid w:val="00131476"/>
    <w:rPr>
      <w:rFonts w:ascii="Arial" w:hAnsi="Arial"/>
      <w:i/>
      <w:sz w:val="18"/>
    </w:rPr>
  </w:style>
  <w:style w:type="paragraph" w:customStyle="1" w:styleId="pulldot">
    <w:name w:val="pull dot"/>
    <w:basedOn w:val="ListBullet"/>
    <w:qFormat/>
    <w:rsid w:val="00131476"/>
    <w:pPr>
      <w:numPr>
        <w:numId w:val="0"/>
      </w:numPr>
      <w:tabs>
        <w:tab w:val="left" w:pos="357"/>
      </w:tabs>
    </w:pPr>
    <w:rPr>
      <w:color w:val="419997"/>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24620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131476"/>
    <w:pPr>
      <w:spacing w:before="300"/>
      <w:outlineLvl w:val="1"/>
    </w:pPr>
    <w:rPr>
      <w:sz w:val="28"/>
      <w:lang w:eastAsia="en-AU"/>
    </w:rPr>
  </w:style>
  <w:style w:type="paragraph" w:styleId="Heading3">
    <w:name w:val="heading 3"/>
    <w:basedOn w:val="Normal"/>
    <w:next w:val="Normal"/>
    <w:link w:val="Heading3Char"/>
    <w:qFormat/>
    <w:rsid w:val="00131476"/>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131476"/>
    <w:rPr>
      <w:rFonts w:ascii="Arial" w:hAnsi="Arial" w:cs="Arial"/>
      <w:b/>
      <w:color w:val="228591"/>
      <w:sz w:val="28"/>
      <w:szCs w:val="24"/>
    </w:rPr>
  </w:style>
  <w:style w:type="character" w:customStyle="1" w:styleId="Heading3Char">
    <w:name w:val="Heading 3 Char"/>
    <w:basedOn w:val="DefaultParagraphFont"/>
    <w:link w:val="Heading3"/>
    <w:rsid w:val="00131476"/>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131476"/>
    <w:pPr>
      <w:spacing w:before="240" w:after="60"/>
      <w:jc w:val="center"/>
      <w:outlineLvl w:val="0"/>
    </w:pPr>
    <w:rPr>
      <w:b/>
      <w:bCs/>
      <w:kern w:val="28"/>
      <w:sz w:val="32"/>
      <w:szCs w:val="32"/>
    </w:rPr>
  </w:style>
  <w:style w:type="character" w:customStyle="1" w:styleId="TitleChar">
    <w:name w:val="Title Char"/>
    <w:basedOn w:val="DefaultParagraphFont"/>
    <w:link w:val="Title"/>
    <w:rsid w:val="00131476"/>
    <w:rPr>
      <w:rFonts w:ascii="Arial" w:hAnsi="Arial" w:cs="Arial"/>
      <w:b/>
      <w:bCs/>
      <w:kern w:val="28"/>
      <w:sz w:val="32"/>
      <w:szCs w:val="32"/>
      <w:lang w:eastAsia="en-US"/>
    </w:rPr>
  </w:style>
  <w:style w:type="paragraph" w:styleId="Subtitle">
    <w:name w:val="Subtitle"/>
    <w:basedOn w:val="Normal"/>
    <w:link w:val="SubtitleChar"/>
    <w:unhideWhenUsed/>
    <w:qFormat/>
    <w:rsid w:val="00131476"/>
    <w:pPr>
      <w:spacing w:after="60"/>
      <w:jc w:val="center"/>
      <w:outlineLvl w:val="1"/>
    </w:pPr>
    <w:rPr>
      <w:sz w:val="24"/>
    </w:rPr>
  </w:style>
  <w:style w:type="character" w:customStyle="1" w:styleId="SubtitleChar">
    <w:name w:val="Subtitle Char"/>
    <w:basedOn w:val="DefaultParagraphFont"/>
    <w:link w:val="Subtitle"/>
    <w:rsid w:val="00131476"/>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131476"/>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131476"/>
    <w:pPr>
      <w:numPr>
        <w:numId w:val="9"/>
      </w:numPr>
      <w:tabs>
        <w:tab w:val="left" w:pos="284"/>
      </w:tabs>
    </w:pPr>
    <w:rPr>
      <w:color w:val="419997"/>
      <w:sz w:val="23"/>
      <w:szCs w:val="23"/>
    </w:rPr>
  </w:style>
  <w:style w:type="character" w:customStyle="1" w:styleId="BulletChar">
    <w:name w:val="_Bullet Char"/>
    <w:link w:val="Bullet"/>
    <w:rsid w:val="00131476"/>
    <w:rPr>
      <w:rFonts w:ascii="Arial" w:hAnsi="Arial" w:cs="Arial"/>
      <w:color w:val="419997"/>
      <w:sz w:val="23"/>
      <w:szCs w:val="23"/>
      <w:lang w:eastAsia="en-US"/>
    </w:rPr>
  </w:style>
  <w:style w:type="paragraph" w:customStyle="1" w:styleId="HA">
    <w:name w:val="_HA"/>
    <w:next w:val="Body"/>
    <w:uiPriority w:val="2"/>
    <w:qFormat/>
    <w:rsid w:val="00131476"/>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131476"/>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131476"/>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246208"/>
    <w:pPr>
      <w:spacing w:before="57" w:line="220" w:lineRule="atLeast"/>
    </w:pPr>
    <w:rPr>
      <w:rFonts w:ascii="Arial" w:hAnsi="Arial" w:cs="Arial"/>
      <w:b/>
      <w:sz w:val="18"/>
      <w:szCs w:val="24"/>
      <w:lang w:eastAsia="en-US"/>
    </w:rPr>
  </w:style>
  <w:style w:type="paragraph" w:customStyle="1" w:styleId="Pullout">
    <w:name w:val="_Pullout"/>
    <w:qFormat/>
    <w:rsid w:val="00131476"/>
    <w:pPr>
      <w:spacing w:before="85" w:after="170" w:line="300" w:lineRule="atLeast"/>
    </w:pPr>
    <w:rPr>
      <w:rFonts w:ascii="Arial" w:hAnsi="Arial" w:cs="Arial"/>
      <w:color w:val="419997"/>
      <w:sz w:val="23"/>
      <w:szCs w:val="24"/>
      <w:lang w:eastAsia="en-US"/>
    </w:rPr>
  </w:style>
  <w:style w:type="character" w:styleId="Hyperlink">
    <w:name w:val="Hyperlink"/>
    <w:uiPriority w:val="99"/>
    <w:rsid w:val="00246208"/>
    <w:rPr>
      <w:color w:val="0000FF"/>
      <w:u w:val="single"/>
    </w:rPr>
  </w:style>
  <w:style w:type="paragraph" w:customStyle="1" w:styleId="DEPINormal">
    <w:name w:val="DEPINormal"/>
    <w:basedOn w:val="Normal"/>
    <w:link w:val="DEPINormalChar"/>
    <w:rsid w:val="00246208"/>
    <w:pPr>
      <w:widowControl w:val="0"/>
      <w:suppressAutoHyphens/>
      <w:autoSpaceDE w:val="0"/>
      <w:autoSpaceDN w:val="0"/>
      <w:adjustRightInd w:val="0"/>
      <w:textAlignment w:val="center"/>
    </w:pPr>
    <w:rPr>
      <w:rFonts w:ascii="Frutiger-Light" w:hAnsi="Frutiger-Light" w:cs="Frutiger-Light"/>
      <w:color w:val="1C1E1F"/>
      <w:sz w:val="17"/>
      <w:szCs w:val="17"/>
      <w:lang w:val="en-GB"/>
    </w:rPr>
  </w:style>
  <w:style w:type="character" w:customStyle="1" w:styleId="DEPINormalChar">
    <w:name w:val="DEPINormal Char"/>
    <w:link w:val="DEPINormal"/>
    <w:rsid w:val="00246208"/>
    <w:rPr>
      <w:rFonts w:ascii="Frutiger-Light" w:hAnsi="Frutiger-Light" w:cs="Frutiger-Light"/>
      <w:color w:val="1C1E1F"/>
      <w:sz w:val="17"/>
      <w:szCs w:val="17"/>
      <w:lang w:val="en-GB" w:eastAsia="en-US"/>
    </w:rPr>
  </w:style>
  <w:style w:type="table" w:styleId="LightList">
    <w:name w:val="Light List"/>
    <w:basedOn w:val="TableNormal"/>
    <w:uiPriority w:val="61"/>
    <w:rsid w:val="002462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24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208"/>
    <w:rPr>
      <w:rFonts w:ascii="Arial" w:hAnsi="Arial" w:cs="Arial"/>
      <w:sz w:val="18"/>
      <w:szCs w:val="24"/>
      <w:lang w:eastAsia="en-US"/>
    </w:rPr>
  </w:style>
  <w:style w:type="paragraph" w:styleId="Footer">
    <w:name w:val="footer"/>
    <w:basedOn w:val="Normal"/>
    <w:link w:val="FooterChar"/>
    <w:uiPriority w:val="99"/>
    <w:unhideWhenUsed/>
    <w:rsid w:val="00246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208"/>
    <w:rPr>
      <w:rFonts w:ascii="Arial" w:hAnsi="Arial" w:cs="Arial"/>
      <w:sz w:val="18"/>
      <w:szCs w:val="24"/>
      <w:lang w:eastAsia="en-US"/>
    </w:rPr>
  </w:style>
  <w:style w:type="paragraph" w:customStyle="1" w:styleId="zFooter">
    <w:name w:val="_zFooter"/>
    <w:uiPriority w:val="99"/>
    <w:rsid w:val="00246208"/>
    <w:pPr>
      <w:tabs>
        <w:tab w:val="right" w:pos="9639"/>
      </w:tabs>
      <w:jc w:val="center"/>
    </w:pPr>
    <w:rPr>
      <w:rFonts w:ascii="Arial" w:hAnsi="Arial"/>
      <w:sz w:val="14"/>
      <w:szCs w:val="24"/>
      <w:lang w:eastAsia="en-US"/>
    </w:rPr>
  </w:style>
  <w:style w:type="character" w:customStyle="1" w:styleId="zRptPgNum">
    <w:name w:val="_zRptPgNum"/>
    <w:uiPriority w:val="99"/>
    <w:rsid w:val="00246208"/>
    <w:rPr>
      <w:color w:val="F58426"/>
    </w:rPr>
  </w:style>
  <w:style w:type="paragraph" w:styleId="BalloonText">
    <w:name w:val="Balloon Text"/>
    <w:basedOn w:val="Normal"/>
    <w:link w:val="BalloonTextChar"/>
    <w:uiPriority w:val="99"/>
    <w:semiHidden/>
    <w:unhideWhenUsed/>
    <w:rsid w:val="008A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5CB"/>
    <w:rPr>
      <w:rFonts w:ascii="Tahoma" w:hAnsi="Tahoma" w:cs="Tahoma"/>
      <w:sz w:val="16"/>
      <w:szCs w:val="16"/>
      <w:lang w:eastAsia="en-US"/>
    </w:rPr>
  </w:style>
  <w:style w:type="character" w:styleId="FollowedHyperlink">
    <w:name w:val="FollowedHyperlink"/>
    <w:basedOn w:val="DefaultParagraphFont"/>
    <w:uiPriority w:val="99"/>
    <w:semiHidden/>
    <w:unhideWhenUsed/>
    <w:rsid w:val="005B1AC0"/>
    <w:rPr>
      <w:color w:val="800080" w:themeColor="followedHyperlink"/>
      <w:u w:val="single"/>
    </w:rPr>
  </w:style>
  <w:style w:type="paragraph" w:customStyle="1" w:styleId="Footerinarial8">
    <w:name w:val="Footer in arial 8"/>
    <w:basedOn w:val="Normal"/>
    <w:rsid w:val="00200660"/>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131476"/>
    <w:pPr>
      <w:numPr>
        <w:numId w:val="6"/>
      </w:numPr>
    </w:pPr>
  </w:style>
  <w:style w:type="paragraph" w:styleId="ListBullet2">
    <w:name w:val="List Bullet 2"/>
    <w:basedOn w:val="Normal"/>
    <w:uiPriority w:val="99"/>
    <w:qFormat/>
    <w:rsid w:val="00131476"/>
    <w:pPr>
      <w:numPr>
        <w:numId w:val="7"/>
      </w:numPr>
    </w:pPr>
  </w:style>
  <w:style w:type="paragraph" w:customStyle="1" w:styleId="pulloutdotpoint">
    <w:name w:val="pullout dot point"/>
    <w:basedOn w:val="ListBullet"/>
    <w:uiPriority w:val="9"/>
    <w:qFormat/>
    <w:rsid w:val="00131476"/>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131476"/>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131476"/>
    <w:pPr>
      <w:spacing w:before="50" w:after="50"/>
      <w:jc w:val="center"/>
    </w:pPr>
    <w:rPr>
      <w:color w:val="798D28"/>
      <w:spacing w:val="-2"/>
      <w:sz w:val="32"/>
      <w:szCs w:val="32"/>
    </w:rPr>
  </w:style>
  <w:style w:type="character" w:customStyle="1" w:styleId="TableBodyText-Italics">
    <w:name w:val="Table Body Text - Italics"/>
    <w:semiHidden/>
    <w:unhideWhenUsed/>
    <w:qFormat/>
    <w:rsid w:val="00131476"/>
    <w:rPr>
      <w:rFonts w:ascii="Arial" w:hAnsi="Arial"/>
      <w:i/>
      <w:sz w:val="18"/>
    </w:rPr>
  </w:style>
  <w:style w:type="paragraph" w:customStyle="1" w:styleId="pulldot">
    <w:name w:val="pull dot"/>
    <w:basedOn w:val="ListBullet"/>
    <w:qFormat/>
    <w:rsid w:val="00131476"/>
    <w:pPr>
      <w:numPr>
        <w:numId w:val="0"/>
      </w:numPr>
      <w:tabs>
        <w:tab w:val="left" w:pos="357"/>
      </w:tabs>
    </w:pPr>
    <w:rPr>
      <w:color w:val="41999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ommunity.com.au/insurance/insurance_main.js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lwp.vic.gov.au/about-us/regions-and-loc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plaw.org.au/insur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urcommunity.com.au/insurance/insurance_main.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fplaw.org.au/insura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4</cp:revision>
  <cp:lastPrinted>2015-10-26T10:24:00Z</cp:lastPrinted>
  <dcterms:created xsi:type="dcterms:W3CDTF">2015-10-26T10:08:00Z</dcterms:created>
  <dcterms:modified xsi:type="dcterms:W3CDTF">2015-10-26T10:24:00Z</dcterms:modified>
</cp:coreProperties>
</file>