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67CC6" w14:textId="77777777" w:rsidR="00591BB0" w:rsidRPr="00422B3D" w:rsidRDefault="00591BB0" w:rsidP="00525C08">
      <w:pPr>
        <w:pStyle w:val="HA"/>
        <w:spacing w:before="40" w:after="400"/>
      </w:pPr>
      <w:bookmarkStart w:id="0" w:name="_Toc380407540"/>
      <w:bookmarkStart w:id="1" w:name="_Toc382289633"/>
      <w:r w:rsidRPr="00422B3D">
        <w:t>1. Introductio</w:t>
      </w:r>
      <w:bookmarkEnd w:id="0"/>
      <w:bookmarkEnd w:id="1"/>
      <w:r w:rsidR="000A5FB1">
        <w:t>n</w:t>
      </w:r>
    </w:p>
    <w:p w14:paraId="0DF67CC7" w14:textId="77777777" w:rsidR="00525C08" w:rsidRDefault="00591BB0" w:rsidP="00426717">
      <w:pPr>
        <w:pStyle w:val="Pullout"/>
        <w:spacing w:after="120"/>
      </w:pPr>
      <w:r w:rsidRPr="00B82219">
        <w:t xml:space="preserve">These guidelines </w:t>
      </w:r>
      <w:r w:rsidR="009B5785">
        <w:t>are</w:t>
      </w:r>
      <w:r w:rsidRPr="00B82219">
        <w:t xml:space="preserve"> written to assist committees of management of Crown land reserves in Victoria to fulfil thei</w:t>
      </w:r>
      <w:r w:rsidR="00426717">
        <w:t xml:space="preserve">r duties and responsibilities.  </w:t>
      </w:r>
    </w:p>
    <w:p w14:paraId="0DF67CC8" w14:textId="77777777" w:rsidR="00426717" w:rsidRDefault="00591BB0" w:rsidP="00426717">
      <w:pPr>
        <w:pStyle w:val="Pullout"/>
        <w:spacing w:after="120"/>
      </w:pPr>
      <w:r w:rsidRPr="00B82219">
        <w:t xml:space="preserve">This chapter </w:t>
      </w:r>
      <w:r w:rsidR="00FC2F28">
        <w:t>includes</w:t>
      </w:r>
      <w:r w:rsidR="00426717">
        <w:t xml:space="preserve"> information about:</w:t>
      </w:r>
      <w:r w:rsidRPr="00B82219">
        <w:t xml:space="preserve"> </w:t>
      </w:r>
    </w:p>
    <w:p w14:paraId="0DF67CC9" w14:textId="77777777" w:rsidR="00426717" w:rsidRPr="008C22B0" w:rsidRDefault="00426717" w:rsidP="00DD3077">
      <w:pPr>
        <w:pStyle w:val="Bullet"/>
        <w:ind w:left="284" w:hanging="284"/>
      </w:pPr>
      <w:r w:rsidRPr="008C22B0">
        <w:t xml:space="preserve">the nature </w:t>
      </w:r>
      <w:r w:rsidR="00792AAB" w:rsidRPr="008C22B0">
        <w:t xml:space="preserve">and functions </w:t>
      </w:r>
      <w:r w:rsidRPr="008C22B0">
        <w:t>of a committee</w:t>
      </w:r>
      <w:r w:rsidR="00FC2F28" w:rsidRPr="008C22B0">
        <w:t xml:space="preserve"> of management </w:t>
      </w:r>
    </w:p>
    <w:p w14:paraId="0DF67CCA" w14:textId="77777777" w:rsidR="00525C08" w:rsidRDefault="001E7181" w:rsidP="00DD3077">
      <w:pPr>
        <w:pStyle w:val="Bullet"/>
        <w:ind w:left="284" w:hanging="284"/>
      </w:pPr>
      <w:r>
        <w:t>th</w:t>
      </w:r>
      <w:r w:rsidR="00591BB0" w:rsidRPr="00426717">
        <w:t>e</w:t>
      </w:r>
      <w:r w:rsidR="009B5785">
        <w:t>se</w:t>
      </w:r>
      <w:r w:rsidR="00591BB0" w:rsidRPr="00426717">
        <w:t xml:space="preserve"> guidelines</w:t>
      </w:r>
      <w:r w:rsidR="00792AAB">
        <w:t xml:space="preserve"> </w:t>
      </w:r>
    </w:p>
    <w:p w14:paraId="0DF67CCB" w14:textId="77777777" w:rsidR="00591BB0" w:rsidRPr="00792AAB" w:rsidRDefault="00525C08" w:rsidP="00525C08">
      <w:pPr>
        <w:pStyle w:val="Bullet"/>
        <w:ind w:left="284" w:hanging="284"/>
      </w:pPr>
      <w:r>
        <w:t>‘</w:t>
      </w:r>
      <w:r w:rsidR="00615216" w:rsidRPr="00792AAB">
        <w:t>help from DELWP</w:t>
      </w:r>
      <w:r>
        <w:t>’</w:t>
      </w:r>
      <w:r w:rsidR="00591BB0" w:rsidRPr="00792AAB">
        <w:t>.</w:t>
      </w:r>
    </w:p>
    <w:p w14:paraId="0DF67CCC" w14:textId="77777777" w:rsidR="00591BB0" w:rsidRPr="006B0D28" w:rsidRDefault="00591BB0" w:rsidP="00B1493E">
      <w:pPr>
        <w:pStyle w:val="Heading2"/>
        <w:spacing w:before="400"/>
      </w:pPr>
      <w:r w:rsidRPr="006B0D28">
        <w:t>1.1</w:t>
      </w:r>
      <w:r w:rsidRPr="006B0D28">
        <w:tab/>
        <w:t>About committees of management</w:t>
      </w:r>
    </w:p>
    <w:p w14:paraId="0DF67CCD" w14:textId="77777777" w:rsidR="00591BB0" w:rsidRPr="00B82219" w:rsidRDefault="003A4596" w:rsidP="00525C08">
      <w:pPr>
        <w:spacing w:after="100"/>
      </w:pPr>
      <w:r>
        <w:t>A C</w:t>
      </w:r>
      <w:r w:rsidR="00591BB0" w:rsidRPr="00B82219">
        <w:t>rown land</w:t>
      </w:r>
      <w:r>
        <w:t xml:space="preserve"> reserve is public land that is </w:t>
      </w:r>
      <w:r w:rsidR="004367DB">
        <w:t>set aside</w:t>
      </w:r>
      <w:r w:rsidR="00591BB0" w:rsidRPr="00B82219">
        <w:t xml:space="preserve"> for the benefit and enjoyment of the people of Victoria</w:t>
      </w:r>
      <w:r>
        <w:t>.  Examples include coastal foreshores, recreation reserves, public halls, and rail trails.</w:t>
      </w:r>
    </w:p>
    <w:p w14:paraId="0DF67CCE" w14:textId="77777777" w:rsidR="00591BB0" w:rsidRPr="00B82219" w:rsidRDefault="00892FD6" w:rsidP="002156B9">
      <w:pPr>
        <w:pStyle w:val="Body"/>
        <w:spacing w:after="100"/>
      </w:pPr>
      <w:r w:rsidRPr="00545826">
        <w:rPr>
          <w:noProof/>
          <w:lang w:eastAsia="en-AU"/>
        </w:rPr>
        <mc:AlternateContent>
          <mc:Choice Requires="wps">
            <w:drawing>
              <wp:anchor distT="45720" distB="45720" distL="114300" distR="114300" simplePos="0" relativeHeight="251659264" behindDoc="1" locked="0" layoutInCell="1" allowOverlap="1" wp14:anchorId="0DF67D10" wp14:editId="0DF67D11">
                <wp:simplePos x="0" y="0"/>
                <wp:positionH relativeFrom="column">
                  <wp:posOffset>4451350</wp:posOffset>
                </wp:positionH>
                <wp:positionV relativeFrom="paragraph">
                  <wp:posOffset>21590</wp:posOffset>
                </wp:positionV>
                <wp:extent cx="1938020" cy="1367790"/>
                <wp:effectExtent l="0" t="0" r="5080" b="3810"/>
                <wp:wrapThrough wrapText="bothSides">
                  <wp:wrapPolygon edited="0">
                    <wp:start x="0" y="0"/>
                    <wp:lineTo x="0" y="21359"/>
                    <wp:lineTo x="21444" y="21359"/>
                    <wp:lineTo x="21444"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1367790"/>
                        </a:xfrm>
                        <a:prstGeom prst="rect">
                          <a:avLst/>
                        </a:prstGeom>
                        <a:solidFill>
                          <a:schemeClr val="accent1">
                            <a:lumMod val="20000"/>
                            <a:lumOff val="80000"/>
                          </a:schemeClr>
                        </a:solidFill>
                        <a:ln>
                          <a:noFill/>
                        </a:ln>
                        <a:extLst/>
                      </wps:spPr>
                      <wps:txbx>
                        <w:txbxContent>
                          <w:p w14:paraId="0DF67D1C" w14:textId="77777777" w:rsidR="00591BB0" w:rsidRPr="00AF648E" w:rsidRDefault="00591BB0" w:rsidP="00591BB0">
                            <w:pPr>
                              <w:pStyle w:val="Body"/>
                              <w:rPr>
                                <w:b/>
                                <w:sz w:val="16"/>
                                <w:szCs w:val="16"/>
                                <w:lang w:eastAsia="en-AU"/>
                              </w:rPr>
                            </w:pPr>
                            <w:r w:rsidRPr="00AF648E">
                              <w:rPr>
                                <w:b/>
                                <w:sz w:val="16"/>
                                <w:szCs w:val="16"/>
                                <w:lang w:eastAsia="en-AU"/>
                              </w:rPr>
                              <w:t>Across Victoria there are approximately:</w:t>
                            </w:r>
                          </w:p>
                          <w:p w14:paraId="0DF67D1D" w14:textId="77777777" w:rsidR="00591BB0" w:rsidRPr="00AF648E" w:rsidRDefault="00591BB0" w:rsidP="00AF648E">
                            <w:pPr>
                              <w:pStyle w:val="Body"/>
                              <w:numPr>
                                <w:ilvl w:val="0"/>
                                <w:numId w:val="2"/>
                              </w:numPr>
                              <w:tabs>
                                <w:tab w:val="left" w:pos="142"/>
                              </w:tabs>
                              <w:ind w:left="142" w:hanging="142"/>
                              <w:rPr>
                                <w:b/>
                                <w:sz w:val="16"/>
                                <w:szCs w:val="16"/>
                                <w:lang w:eastAsia="en-AU"/>
                              </w:rPr>
                            </w:pPr>
                            <w:r w:rsidRPr="00AF648E">
                              <w:rPr>
                                <w:b/>
                                <w:sz w:val="16"/>
                                <w:szCs w:val="16"/>
                                <w:lang w:eastAsia="en-AU"/>
                              </w:rPr>
                              <w:t xml:space="preserve">1,500 reserves managed by 1,200 local committees of management </w:t>
                            </w:r>
                          </w:p>
                          <w:p w14:paraId="0DF67D1E" w14:textId="77777777" w:rsidR="00591BB0" w:rsidRPr="00AF648E" w:rsidRDefault="00591BB0" w:rsidP="00525C08">
                            <w:pPr>
                              <w:pStyle w:val="Body"/>
                              <w:numPr>
                                <w:ilvl w:val="0"/>
                                <w:numId w:val="2"/>
                              </w:numPr>
                              <w:tabs>
                                <w:tab w:val="left" w:pos="142"/>
                              </w:tabs>
                              <w:spacing w:after="60"/>
                              <w:ind w:left="142" w:hanging="142"/>
                              <w:rPr>
                                <w:b/>
                                <w:sz w:val="16"/>
                                <w:szCs w:val="16"/>
                              </w:rPr>
                            </w:pPr>
                            <w:r w:rsidRPr="00AF648E">
                              <w:rPr>
                                <w:b/>
                                <w:sz w:val="16"/>
                                <w:szCs w:val="16"/>
                                <w:lang w:eastAsia="en-AU"/>
                              </w:rPr>
                              <w:t>2,800 reserves managed by municipal councils as committees of management.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67D10" id="_x0000_t202" coordsize="21600,21600" o:spt="202" path="m,l,21600r21600,l21600,xe">
                <v:stroke joinstyle="miter"/>
                <v:path gradientshapeok="t" o:connecttype="rect"/>
              </v:shapetype>
              <v:shape id="Text Box 2" o:spid="_x0000_s1026" type="#_x0000_t202" style="position:absolute;margin-left:350.5pt;margin-top:1.7pt;width:152.6pt;height:107.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" fillcolor="#dbe5f1 [660]" stroked="f">
                <v:textbox>
                  <w:txbxContent>
                    <w:p w14:paraId="0DF67D1C" w14:textId="77777777" w:rsidR="00591BB0" w:rsidRPr="00AF648E" w:rsidRDefault="00591BB0" w:rsidP="00591BB0">
                      <w:pPr>
                        <w:pStyle w:val="Body"/>
                        <w:rPr>
                          <w:b/>
                          <w:sz w:val="16"/>
                          <w:szCs w:val="16"/>
                          <w:lang w:eastAsia="en-AU"/>
                        </w:rPr>
                      </w:pPr>
                      <w:r w:rsidRPr="00AF648E">
                        <w:rPr>
                          <w:b/>
                          <w:sz w:val="16"/>
                          <w:szCs w:val="16"/>
                          <w:lang w:eastAsia="en-AU"/>
                        </w:rPr>
                        <w:t>Across Victoria there are approximately:</w:t>
                      </w:r>
                    </w:p>
                    <w:p w14:paraId="0DF67D1D" w14:textId="77777777" w:rsidR="00591BB0" w:rsidRPr="00AF648E" w:rsidRDefault="00591BB0" w:rsidP="00AF648E">
                      <w:pPr>
                        <w:pStyle w:val="Body"/>
                        <w:numPr>
                          <w:ilvl w:val="0"/>
                          <w:numId w:val="2"/>
                        </w:numPr>
                        <w:tabs>
                          <w:tab w:val="left" w:pos="142"/>
                        </w:tabs>
                        <w:ind w:left="142" w:hanging="142"/>
                        <w:rPr>
                          <w:b/>
                          <w:sz w:val="16"/>
                          <w:szCs w:val="16"/>
                          <w:lang w:eastAsia="en-AU"/>
                        </w:rPr>
                      </w:pPr>
                      <w:r w:rsidRPr="00AF648E">
                        <w:rPr>
                          <w:b/>
                          <w:sz w:val="16"/>
                          <w:szCs w:val="16"/>
                          <w:lang w:eastAsia="en-AU"/>
                        </w:rPr>
                        <w:t xml:space="preserve">1,500 reserves managed by 1,200 local committees of management </w:t>
                      </w:r>
                    </w:p>
                    <w:p w14:paraId="0DF67D1E" w14:textId="77777777" w:rsidR="00591BB0" w:rsidRPr="00AF648E" w:rsidRDefault="00591BB0" w:rsidP="00525C08">
                      <w:pPr>
                        <w:pStyle w:val="Body"/>
                        <w:numPr>
                          <w:ilvl w:val="0"/>
                          <w:numId w:val="2"/>
                        </w:numPr>
                        <w:tabs>
                          <w:tab w:val="left" w:pos="142"/>
                        </w:tabs>
                        <w:spacing w:after="60"/>
                        <w:ind w:left="142" w:hanging="142"/>
                        <w:rPr>
                          <w:b/>
                          <w:sz w:val="16"/>
                          <w:szCs w:val="16"/>
                        </w:rPr>
                      </w:pPr>
                      <w:r w:rsidRPr="00AF648E">
                        <w:rPr>
                          <w:b/>
                          <w:sz w:val="16"/>
                          <w:szCs w:val="16"/>
                          <w:lang w:eastAsia="en-AU"/>
                        </w:rPr>
                        <w:t>2,800 reserves managed by municipal councils as committees of management.</w:t>
                      </w:r>
                    </w:p>
                  </w:txbxContent>
                </v:textbox>
                <w10:wrap type="through"/>
              </v:shape>
            </w:pict>
          </mc:Fallback>
        </mc:AlternateContent>
      </w:r>
      <w:r w:rsidR="00591BB0" w:rsidRPr="00545826">
        <w:t>Members of the public have been involved in the management of Crown land reserves in Victoria for over 150 years.  Their contribution benefits the community in a variety of ways – environmentally, socially and economically</w:t>
      </w:r>
      <w:r w:rsidR="00591BB0" w:rsidRPr="00B82219">
        <w:t>.</w:t>
      </w:r>
    </w:p>
    <w:p w14:paraId="0DF67CCF" w14:textId="77777777" w:rsidR="00591BB0" w:rsidRPr="00B82219" w:rsidRDefault="00591BB0" w:rsidP="00525C08">
      <w:pPr>
        <w:spacing w:after="100"/>
      </w:pPr>
      <w:r w:rsidRPr="00B82219">
        <w:t xml:space="preserve">The role of a committee of management is to ‘manage, improve, maintain and control’ an allocated Crown land reserve for the purposes for which it is reserved under the </w:t>
      </w:r>
      <w:r w:rsidRPr="00574FC6">
        <w:rPr>
          <w:i/>
        </w:rPr>
        <w:t>Crown Land (Reserves) Act 1978</w:t>
      </w:r>
      <w:r w:rsidRPr="00B82219">
        <w:t xml:space="preserve">.  </w:t>
      </w:r>
      <w:r w:rsidR="001F1C67">
        <w:t>The</w:t>
      </w:r>
      <w:r w:rsidRPr="00B82219">
        <w:t xml:space="preserve"> committee is accountable for its actions and decisions to the Minister for Environment, Climate Change and Water.</w:t>
      </w:r>
    </w:p>
    <w:p w14:paraId="0DF67CD0" w14:textId="77777777" w:rsidR="00591BB0" w:rsidRPr="006B0D28" w:rsidRDefault="00591BB0" w:rsidP="00525C08">
      <w:pPr>
        <w:pStyle w:val="HB"/>
        <w:spacing w:before="200" w:after="80"/>
      </w:pPr>
      <w:bookmarkStart w:id="2" w:name="_Toc380407541"/>
      <w:bookmarkStart w:id="3" w:name="_Toc382289634"/>
      <w:r w:rsidRPr="006B0D28">
        <w:t>The instrument of appointment</w:t>
      </w:r>
      <w:bookmarkEnd w:id="2"/>
      <w:bookmarkEnd w:id="3"/>
    </w:p>
    <w:p w14:paraId="0DF67CD1" w14:textId="77777777" w:rsidR="00591BB0" w:rsidRPr="00B82219" w:rsidRDefault="00591BB0" w:rsidP="00545826">
      <w:r w:rsidRPr="00B82219">
        <w:t>The Minister, or the Minister’s delegate, formally appoints each member of a committee of management via a written instrument of appointment, in accordance with the</w:t>
      </w:r>
      <w:r w:rsidRPr="00B82219">
        <w:rPr>
          <w:rStyle w:val="italic"/>
          <w:iCs/>
        </w:rPr>
        <w:t xml:space="preserve"> Crown Land (Reserves) Act</w:t>
      </w:r>
      <w:r w:rsidRPr="00B82219">
        <w:t xml:space="preserve"> </w:t>
      </w:r>
      <w:r w:rsidRPr="00B82219">
        <w:rPr>
          <w:i/>
        </w:rPr>
        <w:t>1978</w:t>
      </w:r>
      <w:r w:rsidRPr="00B82219">
        <w:t xml:space="preserve">.  The powers and responsibilities of a committee are derived from that Act.  The Minister </w:t>
      </w:r>
      <w:r w:rsidR="000B644B">
        <w:t>has</w:t>
      </w:r>
      <w:r w:rsidRPr="00B82219">
        <w:t xml:space="preserve"> the right to place conditions and limitations on how these powers are executed by a committee and to prescribe in more detail the extent of the committee’s responsibilities.  Generally, the Minister does this at the time o</w:t>
      </w:r>
      <w:r w:rsidR="000B644B">
        <w:t>f appointment of each committee</w:t>
      </w:r>
      <w:r w:rsidRPr="00B82219">
        <w:t xml:space="preserve"> in the instrument of appointment.</w:t>
      </w:r>
    </w:p>
    <w:p w14:paraId="0DF67CD2" w14:textId="77777777" w:rsidR="00591BB0" w:rsidRPr="006B0D28" w:rsidRDefault="00591BB0" w:rsidP="00525C08">
      <w:pPr>
        <w:pStyle w:val="HB"/>
        <w:spacing w:before="200" w:after="80"/>
      </w:pPr>
      <w:bookmarkStart w:id="4" w:name="_Toc380407542"/>
      <w:bookmarkStart w:id="5" w:name="_Toc382289635"/>
      <w:r w:rsidRPr="006B0D28">
        <w:t xml:space="preserve">Legal obligations and powers </w:t>
      </w:r>
      <w:bookmarkEnd w:id="4"/>
      <w:bookmarkEnd w:id="5"/>
    </w:p>
    <w:p w14:paraId="0DF67CD3" w14:textId="77777777" w:rsidR="00591BB0" w:rsidRPr="00B82219" w:rsidRDefault="00591BB0" w:rsidP="00525C08">
      <w:pPr>
        <w:spacing w:after="100"/>
      </w:pPr>
      <w:r w:rsidRPr="00B82219">
        <w:t xml:space="preserve">Each committee must meet its obligations under the </w:t>
      </w:r>
      <w:r w:rsidRPr="00B82219">
        <w:rPr>
          <w:rStyle w:val="italic"/>
          <w:iCs/>
        </w:rPr>
        <w:t xml:space="preserve">Crown Land (Reserves) Act </w:t>
      </w:r>
      <w:r w:rsidRPr="00B82219">
        <w:rPr>
          <w:i/>
        </w:rPr>
        <w:t>1978</w:t>
      </w:r>
      <w:r w:rsidRPr="00B82219">
        <w:t xml:space="preserve">.  In addition, </w:t>
      </w:r>
      <w:r w:rsidR="00AF648E">
        <w:t>it</w:t>
      </w:r>
      <w:r w:rsidRPr="00B82219">
        <w:t xml:space="preserve"> is bound by public sector laws, such as the </w:t>
      </w:r>
      <w:r w:rsidRPr="00574FC6">
        <w:rPr>
          <w:i/>
        </w:rPr>
        <w:t>Public Administration Act 2004</w:t>
      </w:r>
      <w:r w:rsidRPr="00B82219">
        <w:t xml:space="preserve">, and by laws that govern the wider community on matters such as employment, taxation, contracts, tenancy, licensing, </w:t>
      </w:r>
      <w:r w:rsidR="00AF648E">
        <w:t xml:space="preserve">and </w:t>
      </w:r>
      <w:r w:rsidRPr="00B82219">
        <w:t>providing services.</w:t>
      </w:r>
    </w:p>
    <w:p w14:paraId="0DF67CD4" w14:textId="77777777" w:rsidR="00591BB0" w:rsidRPr="00B82219" w:rsidRDefault="00591BB0" w:rsidP="00525C08">
      <w:pPr>
        <w:spacing w:after="100"/>
      </w:pPr>
      <w:r w:rsidRPr="00B82219">
        <w:t xml:space="preserve">The powers given to a committee under the </w:t>
      </w:r>
      <w:r w:rsidRPr="00B82219">
        <w:rPr>
          <w:rStyle w:val="italic"/>
          <w:iCs/>
        </w:rPr>
        <w:t xml:space="preserve">Crown Land (Reserves) Act </w:t>
      </w:r>
      <w:r w:rsidRPr="00B82219">
        <w:rPr>
          <w:i/>
        </w:rPr>
        <w:t>1978</w:t>
      </w:r>
      <w:r w:rsidRPr="00B82219">
        <w:t xml:space="preserve"> enable the committee to:</w:t>
      </w:r>
    </w:p>
    <w:p w14:paraId="0DF67CD5" w14:textId="77777777" w:rsidR="00591BB0" w:rsidRPr="00B82219" w:rsidRDefault="00591BB0" w:rsidP="00525C08">
      <w:pPr>
        <w:pStyle w:val="ListBullet"/>
        <w:spacing w:after="100"/>
        <w:ind w:left="357" w:hanging="357"/>
      </w:pPr>
      <w:r w:rsidRPr="00B82219">
        <w:t>manage, improve, maintain and control the land for the purposes for which it is reserved</w:t>
      </w:r>
    </w:p>
    <w:p w14:paraId="0DF67CD6" w14:textId="77777777" w:rsidR="00591BB0" w:rsidRPr="00B82219" w:rsidRDefault="00591BB0" w:rsidP="00525C08">
      <w:pPr>
        <w:pStyle w:val="ListBullet"/>
        <w:spacing w:after="100"/>
        <w:ind w:left="357" w:hanging="357"/>
      </w:pPr>
      <w:r w:rsidRPr="00B82219">
        <w:t>undertake financial transactions</w:t>
      </w:r>
      <w:r w:rsidR="00A03E44">
        <w:t xml:space="preserve"> (</w:t>
      </w:r>
      <w:r w:rsidRPr="00B82219">
        <w:t>including, for incorporated committees who have the consent of the Victorian Treasurer, borrowing money</w:t>
      </w:r>
      <w:r w:rsidR="00A03E44">
        <w:t>)</w:t>
      </w:r>
    </w:p>
    <w:p w14:paraId="0DF67CD7" w14:textId="77777777" w:rsidR="00591BB0" w:rsidRPr="00B82219" w:rsidRDefault="00591BB0" w:rsidP="00525C08">
      <w:pPr>
        <w:pStyle w:val="ListBullet"/>
        <w:spacing w:after="100"/>
        <w:ind w:left="357" w:hanging="357"/>
      </w:pPr>
      <w:r w:rsidRPr="00B82219">
        <w:t>enter into contracts</w:t>
      </w:r>
    </w:p>
    <w:p w14:paraId="0DF67CD8" w14:textId="77777777" w:rsidR="00591BB0" w:rsidRPr="00B82219" w:rsidRDefault="00591BB0" w:rsidP="00525C08">
      <w:pPr>
        <w:pStyle w:val="ListBullet"/>
        <w:spacing w:after="100"/>
        <w:ind w:left="357" w:hanging="357"/>
      </w:pPr>
      <w:r w:rsidRPr="00B82219">
        <w:t>negotiate leasing and licensing arrangements for all or part of the reserve, subject to Minister’s approval</w:t>
      </w:r>
    </w:p>
    <w:p w14:paraId="0DF67CD9" w14:textId="77777777" w:rsidR="00591BB0" w:rsidRPr="00B82219" w:rsidRDefault="00591BB0" w:rsidP="00525C08">
      <w:pPr>
        <w:pStyle w:val="ListBullet"/>
        <w:spacing w:after="100"/>
        <w:ind w:left="357" w:hanging="357"/>
      </w:pPr>
      <w:r w:rsidRPr="00B82219">
        <w:t>employ people</w:t>
      </w:r>
    </w:p>
    <w:p w14:paraId="0DF67CDA" w14:textId="77777777" w:rsidR="00591BB0" w:rsidRPr="00B82219" w:rsidRDefault="00591BB0" w:rsidP="00525C08">
      <w:pPr>
        <w:pStyle w:val="ListBullet"/>
        <w:spacing w:after="100"/>
        <w:ind w:left="357" w:hanging="357"/>
      </w:pPr>
      <w:r w:rsidRPr="00B82219">
        <w:t>exercise all such powers, functions and authorities and carry out all such duties as are conferred or imposed on it by any regulations</w:t>
      </w:r>
    </w:p>
    <w:p w14:paraId="0DF67CDB" w14:textId="77777777" w:rsidR="00591BB0" w:rsidRPr="00B82219" w:rsidRDefault="00591BB0" w:rsidP="00525C08">
      <w:pPr>
        <w:pStyle w:val="ListBullet"/>
        <w:spacing w:after="100"/>
        <w:ind w:left="357" w:hanging="357"/>
      </w:pPr>
      <w:r w:rsidRPr="00B82219">
        <w:t>maintain records and administer its affairs as a public entity</w:t>
      </w:r>
    </w:p>
    <w:p w14:paraId="0DF67CDC" w14:textId="77777777" w:rsidR="00591BB0" w:rsidRPr="00B82219" w:rsidRDefault="00591BB0" w:rsidP="00525C08">
      <w:pPr>
        <w:pStyle w:val="ListBullet"/>
        <w:spacing w:after="0"/>
        <w:ind w:left="357" w:hanging="357"/>
      </w:pPr>
      <w:r w:rsidRPr="00B82219">
        <w:t>report on its finances and other issues as directed by the Department of Environment, Land, Water and Planning (DELWP) on behalf of the Minister.</w:t>
      </w:r>
    </w:p>
    <w:p w14:paraId="0DF67CDD" w14:textId="77777777" w:rsidR="00591BB0" w:rsidRPr="006B0D28" w:rsidRDefault="00591BB0" w:rsidP="00E86461">
      <w:pPr>
        <w:pStyle w:val="HB"/>
        <w:spacing w:before="340"/>
      </w:pPr>
      <w:bookmarkStart w:id="6" w:name="_Toc380407543"/>
      <w:bookmarkStart w:id="7" w:name="_Toc382289636"/>
      <w:r w:rsidRPr="006B0D28">
        <w:lastRenderedPageBreak/>
        <w:t>Relationship with the community</w:t>
      </w:r>
      <w:bookmarkEnd w:id="6"/>
      <w:bookmarkEnd w:id="7"/>
    </w:p>
    <w:p w14:paraId="0DF67CDE" w14:textId="77777777" w:rsidR="00591BB0" w:rsidRPr="00B82219" w:rsidRDefault="00591BB0" w:rsidP="00545826">
      <w:r w:rsidRPr="00B82219">
        <w:t xml:space="preserve">It is an important for the committee to establish and maintain good relationships with the community.  This will help to ensure that the reserve benefits and is used and enjoyed by the community, who are the committee’s main client group.  Good communication is key to this process.  </w:t>
      </w:r>
    </w:p>
    <w:p w14:paraId="0DF67CDF" w14:textId="77777777" w:rsidR="00892FD6" w:rsidRDefault="00591BB0" w:rsidP="00545826">
      <w:pPr>
        <w:pStyle w:val="ListBullet"/>
      </w:pPr>
      <w:r w:rsidRPr="00B82219">
        <w:t>The community's aspirations for the future of its surrounds are embodied in the local planning scheme, service club activities, interest groups, schools, sporting and recreation club business plans, chamber of commerce activities and annual festivals and events.  Committees need to be familiar with as many of these interests as possible.</w:t>
      </w:r>
      <w:r w:rsidR="00892FD6">
        <w:t xml:space="preserve">  </w:t>
      </w:r>
    </w:p>
    <w:p w14:paraId="0DF67CE0" w14:textId="77777777" w:rsidR="00892FD6" w:rsidRDefault="00591BB0" w:rsidP="00545826">
      <w:pPr>
        <w:pStyle w:val="ListBullet"/>
      </w:pPr>
      <w:r w:rsidRPr="00B82219">
        <w:t xml:space="preserve">Individual members of the community may </w:t>
      </w:r>
      <w:r w:rsidR="000619BB">
        <w:t xml:space="preserve">also </w:t>
      </w:r>
      <w:r w:rsidRPr="00B82219">
        <w:t xml:space="preserve">have specific knowledge regarding flora, fauna, cultural significance and history, recreational needs, </w:t>
      </w:r>
      <w:r w:rsidR="00892FD6">
        <w:t>etc.</w:t>
      </w:r>
      <w:r w:rsidRPr="00B82219">
        <w:t xml:space="preserve"> that the committee can tap into.</w:t>
      </w:r>
      <w:r w:rsidR="00892FD6">
        <w:t xml:space="preserve">  </w:t>
      </w:r>
    </w:p>
    <w:p w14:paraId="0DF67CE1" w14:textId="77777777" w:rsidR="00591BB0" w:rsidRPr="00B82219" w:rsidRDefault="00892FD6" w:rsidP="008C3F88">
      <w:r>
        <w:t>The committee need</w:t>
      </w:r>
      <w:r w:rsidR="00A26E66">
        <w:t>s</w:t>
      </w:r>
      <w:r>
        <w:t xml:space="preserve"> to </w:t>
      </w:r>
      <w:r w:rsidRPr="00B82219">
        <w:t xml:space="preserve">be mindful of managing community expectations </w:t>
      </w:r>
      <w:r w:rsidR="00A26E66">
        <w:t>when developing plans for the</w:t>
      </w:r>
      <w:r w:rsidRPr="00B82219">
        <w:t xml:space="preserve"> reserve</w:t>
      </w:r>
      <w:r>
        <w:t>.</w:t>
      </w:r>
      <w:r w:rsidR="00754CE9">
        <w:t xml:space="preserve">  </w:t>
      </w:r>
      <w:r w:rsidR="00591BB0" w:rsidRPr="00B82219">
        <w:t xml:space="preserve">The level of community involvement will be guided, in part, by the type of reserve and its activities and uses. </w:t>
      </w:r>
      <w:r w:rsidR="00754CE9">
        <w:t xml:space="preserve"> </w:t>
      </w:r>
      <w:r w:rsidR="00591BB0" w:rsidRPr="00B82219">
        <w:t>A major development or activity, for example, may require information sessions, workshops, public meetings and surveys undertaken with the community.</w:t>
      </w:r>
    </w:p>
    <w:p w14:paraId="0DF67CE2" w14:textId="77777777" w:rsidR="00591BB0" w:rsidRPr="00B82219" w:rsidRDefault="00591BB0" w:rsidP="008C3F88">
      <w:r w:rsidRPr="00B82219">
        <w:t xml:space="preserve">Day-to-day community involvement can be fostered by means such as: </w:t>
      </w:r>
    </w:p>
    <w:p w14:paraId="0DF67CE3" w14:textId="77777777" w:rsidR="00591BB0" w:rsidRPr="00B82219" w:rsidRDefault="00591BB0" w:rsidP="008C3F88">
      <w:pPr>
        <w:pStyle w:val="ListBullet"/>
      </w:pPr>
      <w:r w:rsidRPr="00B82219">
        <w:t xml:space="preserve">encouraging involvement in working bees, tree plantings and similar activities </w:t>
      </w:r>
    </w:p>
    <w:p w14:paraId="0DF67CE4" w14:textId="77777777" w:rsidR="00591BB0" w:rsidRPr="00B82219" w:rsidRDefault="00591BB0" w:rsidP="008C3F88">
      <w:pPr>
        <w:pStyle w:val="ListBullet"/>
      </w:pPr>
      <w:r w:rsidRPr="00B82219">
        <w:t>encouraging attendance at the Annual General Meeting (AGM)</w:t>
      </w:r>
      <w:r>
        <w:t>, which is a public event</w:t>
      </w:r>
    </w:p>
    <w:p w14:paraId="0DF67CE5" w14:textId="77777777" w:rsidR="00591BB0" w:rsidRPr="00B82219" w:rsidRDefault="00591BB0" w:rsidP="008C3F88">
      <w:pPr>
        <w:pStyle w:val="ListBullet"/>
      </w:pPr>
      <w:r w:rsidRPr="00B82219">
        <w:t>if the committee is elected by the community, encouraging attendance at the election, which is a public event</w:t>
      </w:r>
    </w:p>
    <w:p w14:paraId="0DF67CE6" w14:textId="77777777" w:rsidR="00591BB0" w:rsidRPr="00B82219" w:rsidRDefault="00591BB0" w:rsidP="008C3F88">
      <w:pPr>
        <w:pStyle w:val="ListBullet"/>
      </w:pPr>
      <w:r w:rsidRPr="00B82219">
        <w:t>reporting activities in the local newspaper and on social media</w:t>
      </w:r>
    </w:p>
    <w:p w14:paraId="0DF67CE7" w14:textId="77777777" w:rsidR="00591BB0" w:rsidRDefault="00591BB0" w:rsidP="008C3F88">
      <w:pPr>
        <w:pStyle w:val="ListBullet"/>
      </w:pPr>
      <w:r w:rsidRPr="00B82219">
        <w:t>where appropriate, inviting members of the community to attend committee meetings.</w:t>
      </w:r>
      <w:bookmarkStart w:id="8" w:name="_Toc382289637"/>
    </w:p>
    <w:p w14:paraId="0DF67CE8" w14:textId="77777777" w:rsidR="00591BB0" w:rsidRPr="006B0D28" w:rsidRDefault="00591BB0" w:rsidP="006B0D28">
      <w:pPr>
        <w:pStyle w:val="HB"/>
      </w:pPr>
      <w:r w:rsidRPr="006B0D28">
        <w:t>The role of the department (DELWP)</w:t>
      </w:r>
      <w:bookmarkEnd w:id="8"/>
      <w:r w:rsidRPr="006B0D28">
        <w:t xml:space="preserve"> </w:t>
      </w:r>
    </w:p>
    <w:p w14:paraId="0DF67CE9" w14:textId="77777777" w:rsidR="00591BB0" w:rsidRPr="00B82219" w:rsidRDefault="00591BB0" w:rsidP="008C3F88">
      <w:r w:rsidRPr="00B82219">
        <w:t>The Department of Environment, Land, Water and Planning (DELWP) oversees and supports committees of management on behalf of the Minister.  The DELWP Customer Service Centre, phone 136 186, can provide information and advice in relation to general matters such as</w:t>
      </w:r>
      <w:r w:rsidRPr="00B82219">
        <w:rPr>
          <w:color w:val="FF0000"/>
        </w:rPr>
        <w:t>:</w:t>
      </w:r>
    </w:p>
    <w:p w14:paraId="0DF67CEA" w14:textId="77777777" w:rsidR="00591BB0" w:rsidRPr="00B82219" w:rsidRDefault="00591BB0" w:rsidP="008C3F88">
      <w:pPr>
        <w:pStyle w:val="ListBullet"/>
      </w:pPr>
      <w:r w:rsidRPr="00B82219">
        <w:t>fire protection</w:t>
      </w:r>
    </w:p>
    <w:p w14:paraId="0DF67CEB" w14:textId="77777777" w:rsidR="00591BB0" w:rsidRPr="00B82219" w:rsidRDefault="00591BB0" w:rsidP="008C3F88">
      <w:pPr>
        <w:pStyle w:val="ListBullet"/>
      </w:pPr>
      <w:r w:rsidRPr="00B82219">
        <w:t>conservation and protection of flora and fauna</w:t>
      </w:r>
    </w:p>
    <w:p w14:paraId="0DF67CEC" w14:textId="77777777" w:rsidR="00591BB0" w:rsidRPr="00B82219" w:rsidRDefault="00591BB0" w:rsidP="008C3F88">
      <w:pPr>
        <w:pStyle w:val="ListBullet"/>
      </w:pPr>
      <w:r w:rsidRPr="00B82219">
        <w:t>tree-growing advice</w:t>
      </w:r>
    </w:p>
    <w:p w14:paraId="0DF67CED" w14:textId="77777777" w:rsidR="00591BB0" w:rsidRPr="00B82219" w:rsidRDefault="00591BB0" w:rsidP="008C3F88">
      <w:pPr>
        <w:pStyle w:val="ListBullet"/>
      </w:pPr>
      <w:r w:rsidRPr="00B82219">
        <w:t>pest plant and animal control</w:t>
      </w:r>
    </w:p>
    <w:p w14:paraId="0DF67CEE" w14:textId="77777777" w:rsidR="00591BB0" w:rsidRPr="00B82219" w:rsidRDefault="00591BB0" w:rsidP="008C3F88">
      <w:pPr>
        <w:pStyle w:val="ListBullet"/>
      </w:pPr>
      <w:r w:rsidRPr="00B82219">
        <w:t>current grants programs</w:t>
      </w:r>
    </w:p>
    <w:p w14:paraId="0DF67CEF" w14:textId="77777777" w:rsidR="00591BB0" w:rsidRPr="00B82219" w:rsidRDefault="00591BB0" w:rsidP="008C3F88">
      <w:pPr>
        <w:pStyle w:val="ListBullet"/>
      </w:pPr>
      <w:r w:rsidRPr="00B82219">
        <w:t>native title</w:t>
      </w:r>
    </w:p>
    <w:p w14:paraId="0DF67CF0" w14:textId="77777777" w:rsidR="00591BB0" w:rsidRPr="00B82219" w:rsidRDefault="00591BB0" w:rsidP="008C3F88">
      <w:pPr>
        <w:pStyle w:val="ListBullet"/>
      </w:pPr>
      <w:r w:rsidRPr="00B82219">
        <w:t>public liability insurance</w:t>
      </w:r>
    </w:p>
    <w:p w14:paraId="0DF67CF1" w14:textId="77777777" w:rsidR="00591BB0" w:rsidRPr="00B82219" w:rsidRDefault="00591BB0" w:rsidP="008C3F88">
      <w:pPr>
        <w:pStyle w:val="ListBullet"/>
      </w:pPr>
      <w:r w:rsidRPr="00B82219">
        <w:t>freedom of information</w:t>
      </w:r>
    </w:p>
    <w:p w14:paraId="0DF67CF2" w14:textId="77777777" w:rsidR="00591BB0" w:rsidRPr="00B82219" w:rsidRDefault="00591BB0" w:rsidP="008C3F88">
      <w:pPr>
        <w:pStyle w:val="ListBullet"/>
      </w:pPr>
      <w:r w:rsidRPr="00B82219">
        <w:t>conservation and protection of cultural heritage.</w:t>
      </w:r>
    </w:p>
    <w:p w14:paraId="0DF67CF3" w14:textId="77777777" w:rsidR="00591BB0" w:rsidRPr="00B82219" w:rsidRDefault="00591BB0" w:rsidP="008C3F88">
      <w:r w:rsidRPr="00B82219">
        <w:t xml:space="preserve">Specific matters and issues should be referred to your </w:t>
      </w:r>
      <w:r w:rsidRPr="00365FE1">
        <w:t xml:space="preserve">local </w:t>
      </w:r>
      <w:hyperlink r:id="rId8" w:history="1">
        <w:r w:rsidRPr="00365FE1">
          <w:rPr>
            <w:rStyle w:val="Hyperlink"/>
          </w:rPr>
          <w:t xml:space="preserve">DELWP regional </w:t>
        </w:r>
        <w:r w:rsidR="00365FE1" w:rsidRPr="00365FE1">
          <w:rPr>
            <w:rStyle w:val="Hyperlink"/>
          </w:rPr>
          <w:t>office</w:t>
        </w:r>
      </w:hyperlink>
      <w:r w:rsidR="00365FE1">
        <w:t>, i</w:t>
      </w:r>
      <w:r w:rsidRPr="00B82219">
        <w:t>ncluding:</w:t>
      </w:r>
    </w:p>
    <w:p w14:paraId="0DF67CF4" w14:textId="77777777" w:rsidR="00591BB0" w:rsidRPr="00B82219" w:rsidRDefault="00591BB0" w:rsidP="008C3F88">
      <w:pPr>
        <w:pStyle w:val="ListBullet"/>
      </w:pPr>
      <w:r w:rsidRPr="00B82219">
        <w:t>preparation of management plans</w:t>
      </w:r>
    </w:p>
    <w:p w14:paraId="0DF67CF5" w14:textId="77777777" w:rsidR="00591BB0" w:rsidRPr="00B82219" w:rsidRDefault="00591BB0" w:rsidP="008C3F88">
      <w:pPr>
        <w:pStyle w:val="ListBullet"/>
      </w:pPr>
      <w:r w:rsidRPr="00B82219">
        <w:t>preparation of leases, licences and contracts</w:t>
      </w:r>
    </w:p>
    <w:p w14:paraId="0DF67CF6" w14:textId="77777777" w:rsidR="00591BB0" w:rsidRPr="00B82219" w:rsidRDefault="00591BB0" w:rsidP="008C3F88">
      <w:pPr>
        <w:pStyle w:val="ListBullet"/>
      </w:pPr>
      <w:r w:rsidRPr="00B82219">
        <w:t>landowner’s consent.</w:t>
      </w:r>
    </w:p>
    <w:p w14:paraId="0DF67CF7" w14:textId="77777777" w:rsidR="00591BB0" w:rsidRDefault="00591BB0" w:rsidP="008C3F88">
      <w:r w:rsidRPr="00B82219">
        <w:t>Any official correspondence from committees that is to be forwarded to the Minister should be addressed to the relevant reserves contact person at the nearest</w:t>
      </w:r>
      <w:r w:rsidR="006F651E">
        <w:t xml:space="preserve"> </w:t>
      </w:r>
      <w:hyperlink r:id="rId9" w:history="1">
        <w:r w:rsidR="006F651E" w:rsidRPr="00365FE1">
          <w:rPr>
            <w:rStyle w:val="Hyperlink"/>
          </w:rPr>
          <w:t>DELWP office</w:t>
        </w:r>
      </w:hyperlink>
      <w:r w:rsidRPr="00B82219">
        <w:t>.</w:t>
      </w:r>
    </w:p>
    <w:p w14:paraId="0DF67CF8" w14:textId="77777777" w:rsidR="00E73A18" w:rsidRDefault="00E73A18">
      <w:pPr>
        <w:spacing w:after="0" w:line="240" w:lineRule="auto"/>
      </w:pPr>
      <w:r>
        <w:br w:type="page"/>
      </w:r>
    </w:p>
    <w:p w14:paraId="0DF67CF9" w14:textId="77777777" w:rsidR="00591BB0" w:rsidRPr="00915135" w:rsidRDefault="00591BB0" w:rsidP="00915135">
      <w:pPr>
        <w:pStyle w:val="Heading2"/>
      </w:pPr>
      <w:bookmarkStart w:id="9" w:name="_Toc380407544"/>
      <w:bookmarkStart w:id="10" w:name="_Toc382289638"/>
      <w:r w:rsidRPr="00915135">
        <w:lastRenderedPageBreak/>
        <w:t>1.2</w:t>
      </w:r>
      <w:r w:rsidRPr="00915135">
        <w:tab/>
        <w:t>About these guidelines</w:t>
      </w:r>
      <w:r w:rsidR="00C51684" w:rsidRPr="00915135">
        <w:t xml:space="preserve"> </w:t>
      </w:r>
    </w:p>
    <w:p w14:paraId="0DF67CFA" w14:textId="09F9539B" w:rsidR="00591BB0" w:rsidRPr="00B82219" w:rsidRDefault="00591BB0" w:rsidP="008C3F88">
      <w:pPr>
        <w:rPr>
          <w:lang w:eastAsia="en-AU"/>
        </w:rPr>
      </w:pPr>
      <w:r w:rsidRPr="00B82219">
        <w:rPr>
          <w:lang w:eastAsia="en-AU"/>
        </w:rPr>
        <w:t>These guidelines</w:t>
      </w:r>
      <w:r w:rsidR="00E424C2">
        <w:rPr>
          <w:lang w:eastAsia="en-AU"/>
        </w:rPr>
        <w:t xml:space="preserve"> and the other guidance materials offered by DELWP</w:t>
      </w:r>
      <w:r w:rsidRPr="00B82219">
        <w:rPr>
          <w:lang w:eastAsia="en-AU"/>
        </w:rPr>
        <w:t xml:space="preserve"> bring together current advice and good practice in the management of Crown land reserves.  </w:t>
      </w:r>
      <w:r w:rsidR="00E424C2">
        <w:rPr>
          <w:lang w:eastAsia="en-AU"/>
        </w:rPr>
        <w:t>They</w:t>
      </w:r>
      <w:r w:rsidRPr="00B82219">
        <w:rPr>
          <w:lang w:eastAsia="en-AU"/>
        </w:rPr>
        <w:t xml:space="preserve"> are </w:t>
      </w:r>
      <w:r w:rsidR="003A62BC">
        <w:rPr>
          <w:lang w:eastAsia="en-AU"/>
        </w:rPr>
        <w:t xml:space="preserve">suitable </w:t>
      </w:r>
      <w:r w:rsidRPr="00B82219">
        <w:rPr>
          <w:lang w:eastAsia="en-AU"/>
        </w:rPr>
        <w:t xml:space="preserve">for use </w:t>
      </w:r>
      <w:r w:rsidR="003A62BC">
        <w:rPr>
          <w:lang w:eastAsia="en-AU"/>
        </w:rPr>
        <w:t xml:space="preserve">by all </w:t>
      </w:r>
      <w:r w:rsidR="006B4400">
        <w:rPr>
          <w:lang w:eastAsia="en-AU"/>
        </w:rPr>
        <w:t xml:space="preserve">committees of management </w:t>
      </w:r>
      <w:r w:rsidRPr="00B82219">
        <w:rPr>
          <w:lang w:eastAsia="en-AU"/>
        </w:rPr>
        <w:t>as follows:</w:t>
      </w:r>
    </w:p>
    <w:p w14:paraId="0DF67CFB" w14:textId="77777777" w:rsidR="00E424C2" w:rsidRPr="006B0D28" w:rsidRDefault="00591BB0" w:rsidP="00E83CB0">
      <w:pPr>
        <w:pStyle w:val="HB"/>
        <w:ind w:left="720"/>
      </w:pPr>
      <w:r w:rsidRPr="006B0D28">
        <w:t>Small committees</w:t>
      </w:r>
    </w:p>
    <w:p w14:paraId="0DF67CFC" w14:textId="2BAB2220" w:rsidR="00FB3CC3" w:rsidRDefault="00E424C2" w:rsidP="00E83CB0">
      <w:pPr>
        <w:spacing w:after="160"/>
        <w:ind w:left="720"/>
        <w:rPr>
          <w:lang w:eastAsia="en-AU"/>
        </w:rPr>
      </w:pPr>
      <w:r w:rsidRPr="006B0D28">
        <w:t>T</w:t>
      </w:r>
      <w:r w:rsidR="00B65B6F" w:rsidRPr="006B0D28">
        <w:t>h</w:t>
      </w:r>
      <w:r w:rsidR="00591BB0" w:rsidRPr="006B0D28">
        <w:t xml:space="preserve">e guidelines are </w:t>
      </w:r>
      <w:r w:rsidR="003649DA">
        <w:t xml:space="preserve">particularly </w:t>
      </w:r>
      <w:r w:rsidR="00B63DF4">
        <w:t xml:space="preserve">useful </w:t>
      </w:r>
      <w:r w:rsidR="00591BB0" w:rsidRPr="006B0D28">
        <w:t xml:space="preserve">for small (category 3) committees.  </w:t>
      </w:r>
      <w:r w:rsidR="00FB3CC3" w:rsidRPr="006B0D28">
        <w:t>Please visit</w:t>
      </w:r>
      <w:r w:rsidR="00FB3CC3" w:rsidRPr="00B82219">
        <w:rPr>
          <w:lang w:eastAsia="en-AU"/>
        </w:rPr>
        <w:t xml:space="preserve"> the</w:t>
      </w:r>
      <w:r w:rsidR="00FB3CC3">
        <w:rPr>
          <w:lang w:eastAsia="en-AU"/>
        </w:rPr>
        <w:t xml:space="preserve"> </w:t>
      </w:r>
      <w:hyperlink r:id="rId10" w:history="1">
        <w:r w:rsidR="00FB3CC3" w:rsidRPr="00734984">
          <w:rPr>
            <w:rStyle w:val="Hyperlink"/>
            <w:lang w:eastAsia="en-AU"/>
          </w:rPr>
          <w:t>Committees of Management</w:t>
        </w:r>
      </w:hyperlink>
      <w:r w:rsidR="00FB3CC3">
        <w:rPr>
          <w:lang w:eastAsia="en-AU"/>
        </w:rPr>
        <w:t xml:space="preserve"> </w:t>
      </w:r>
      <w:r w:rsidR="00FB3CC3" w:rsidRPr="00B82219">
        <w:rPr>
          <w:lang w:eastAsia="en-AU"/>
        </w:rPr>
        <w:t>support module on</w:t>
      </w:r>
      <w:r w:rsidR="00FB3CC3">
        <w:rPr>
          <w:lang w:eastAsia="en-AU"/>
        </w:rPr>
        <w:t xml:space="preserve"> </w:t>
      </w:r>
      <w:r w:rsidR="001106EA" w:rsidRPr="00B82219">
        <w:rPr>
          <w:lang w:eastAsia="en-AU"/>
        </w:rPr>
        <w:t>DELWP’s governance website</w:t>
      </w:r>
      <w:r w:rsidR="001106EA">
        <w:rPr>
          <w:lang w:eastAsia="en-AU"/>
        </w:rPr>
        <w:t xml:space="preserve">, </w:t>
      </w:r>
      <w:r w:rsidR="00FB3CC3">
        <w:rPr>
          <w:lang w:eastAsia="en-AU"/>
        </w:rPr>
        <w:t>On Board</w:t>
      </w:r>
      <w:r w:rsidR="001106EA">
        <w:rPr>
          <w:lang w:eastAsia="en-AU"/>
        </w:rPr>
        <w:t>,</w:t>
      </w:r>
      <w:r w:rsidR="00FB3CC3">
        <w:rPr>
          <w:lang w:eastAsia="en-AU"/>
        </w:rPr>
        <w:t xml:space="preserve"> to check</w:t>
      </w:r>
      <w:r w:rsidR="00FB3CC3" w:rsidRPr="00B82219">
        <w:t xml:space="preserve"> </w:t>
      </w:r>
      <w:r w:rsidR="00FB3CC3">
        <w:rPr>
          <w:lang w:eastAsia="en-AU"/>
        </w:rPr>
        <w:t xml:space="preserve">you have the </w:t>
      </w:r>
      <w:r w:rsidR="00FB3CC3" w:rsidRPr="00FB3CC3">
        <w:rPr>
          <w:lang w:eastAsia="en-AU"/>
        </w:rPr>
        <w:t>latest version.</w:t>
      </w:r>
      <w:r w:rsidR="00E373C1">
        <w:rPr>
          <w:lang w:eastAsia="en-AU"/>
        </w:rPr>
        <w:t xml:space="preserve">  </w:t>
      </w:r>
    </w:p>
    <w:p w14:paraId="0DF67CFD" w14:textId="77777777" w:rsidR="00E424C2" w:rsidRPr="006B0D28" w:rsidRDefault="00591BB0" w:rsidP="00E83CB0">
      <w:pPr>
        <w:pStyle w:val="HB"/>
        <w:ind w:left="720"/>
      </w:pPr>
      <w:r w:rsidRPr="006B0D28">
        <w:t xml:space="preserve">Large committees </w:t>
      </w:r>
    </w:p>
    <w:p w14:paraId="75E75FFB" w14:textId="07C26E58" w:rsidR="000C3609" w:rsidRPr="00751E2D" w:rsidRDefault="00E424C2" w:rsidP="00E83CB0">
      <w:pPr>
        <w:ind w:left="720"/>
        <w:rPr>
          <w:color w:val="0000FF"/>
          <w:u w:val="single"/>
          <w:lang w:eastAsia="en-AU"/>
        </w:rPr>
      </w:pPr>
      <w:r>
        <w:rPr>
          <w:lang w:eastAsia="en-AU"/>
        </w:rPr>
        <w:t>T</w:t>
      </w:r>
      <w:r w:rsidR="00B65B6F">
        <w:rPr>
          <w:lang w:eastAsia="en-AU"/>
        </w:rPr>
        <w:t>h</w:t>
      </w:r>
      <w:r w:rsidR="00591BB0" w:rsidRPr="00B82219">
        <w:rPr>
          <w:lang w:eastAsia="en-AU"/>
        </w:rPr>
        <w:t xml:space="preserve">e guidelines </w:t>
      </w:r>
      <w:r w:rsidR="00CA1FA9">
        <w:rPr>
          <w:lang w:eastAsia="en-AU"/>
        </w:rPr>
        <w:t>will</w:t>
      </w:r>
      <w:r w:rsidR="00CA1FA9" w:rsidRPr="00B82219">
        <w:rPr>
          <w:lang w:eastAsia="en-AU"/>
        </w:rPr>
        <w:t xml:space="preserve"> </w:t>
      </w:r>
      <w:r w:rsidR="00591BB0" w:rsidRPr="00B82219">
        <w:rPr>
          <w:lang w:eastAsia="en-AU"/>
        </w:rPr>
        <w:t xml:space="preserve">also be a useful for large (category 1 and 2) committees.  However, </w:t>
      </w:r>
      <w:r w:rsidR="00832F09">
        <w:rPr>
          <w:lang w:eastAsia="en-AU"/>
        </w:rPr>
        <w:t>these</w:t>
      </w:r>
      <w:r w:rsidR="00591BB0" w:rsidRPr="00B82219">
        <w:rPr>
          <w:lang w:eastAsia="en-AU"/>
        </w:rPr>
        <w:t xml:space="preserve"> committees have additional legal and administrative obligations which they need to comply with.  Related guidance</w:t>
      </w:r>
      <w:r w:rsidR="004C4571">
        <w:rPr>
          <w:lang w:eastAsia="en-AU"/>
        </w:rPr>
        <w:t>, including model policies and guidance notes,</w:t>
      </w:r>
      <w:r w:rsidR="00591BB0" w:rsidRPr="00B82219">
        <w:rPr>
          <w:lang w:eastAsia="en-AU"/>
        </w:rPr>
        <w:t xml:space="preserve"> is available from your local DELWP regional office </w:t>
      </w:r>
      <w:r w:rsidR="000C3609">
        <w:rPr>
          <w:lang w:eastAsia="en-AU"/>
        </w:rPr>
        <w:t xml:space="preserve">and </w:t>
      </w:r>
      <w:r w:rsidR="00591BB0" w:rsidRPr="00B82219">
        <w:rPr>
          <w:lang w:eastAsia="en-AU"/>
        </w:rPr>
        <w:t xml:space="preserve">from the </w:t>
      </w:r>
      <w:r w:rsidR="000C3609">
        <w:rPr>
          <w:lang w:eastAsia="en-AU"/>
        </w:rPr>
        <w:t xml:space="preserve">other </w:t>
      </w:r>
      <w:r w:rsidR="00591BB0" w:rsidRPr="00B82219">
        <w:rPr>
          <w:lang w:eastAsia="en-AU"/>
        </w:rPr>
        <w:t xml:space="preserve">support modules on </w:t>
      </w:r>
      <w:hyperlink r:id="rId11" w:history="1">
        <w:proofErr w:type="spellStart"/>
        <w:r w:rsidR="00591BB0" w:rsidRPr="00B82219">
          <w:rPr>
            <w:rStyle w:val="Hyperlink"/>
            <w:lang w:eastAsia="en-AU"/>
          </w:rPr>
          <w:t>On</w:t>
        </w:r>
        <w:proofErr w:type="spellEnd"/>
        <w:r w:rsidR="00591BB0" w:rsidRPr="00B82219">
          <w:rPr>
            <w:rStyle w:val="Hyperlink"/>
            <w:lang w:eastAsia="en-AU"/>
          </w:rPr>
          <w:t xml:space="preserve"> Board</w:t>
        </w:r>
      </w:hyperlink>
      <w:r w:rsidR="000C3609">
        <w:rPr>
          <w:rStyle w:val="Hyperlink"/>
          <w:lang w:eastAsia="en-AU"/>
        </w:rPr>
        <w:t xml:space="preserve"> </w:t>
      </w:r>
      <w:r w:rsidR="000C3609">
        <w:rPr>
          <w:lang w:eastAsia="en-AU"/>
        </w:rPr>
        <w:t>(e.g. conflict of interest).</w:t>
      </w:r>
    </w:p>
    <w:p w14:paraId="0DF67CFF" w14:textId="77777777" w:rsidR="00E424C2" w:rsidRDefault="00591BB0" w:rsidP="00E83CB0">
      <w:pPr>
        <w:pStyle w:val="HB"/>
        <w:ind w:left="720"/>
      </w:pPr>
      <w:r w:rsidRPr="00CC770D">
        <w:t>Coastal committees</w:t>
      </w:r>
    </w:p>
    <w:p w14:paraId="5E594BDB" w14:textId="5DBC1499" w:rsidR="000C047B" w:rsidRPr="00B82219" w:rsidRDefault="00E424C2" w:rsidP="00E83CB0">
      <w:pPr>
        <w:ind w:left="720"/>
        <w:rPr>
          <w:lang w:eastAsia="en-AU"/>
        </w:rPr>
      </w:pPr>
      <w:r>
        <w:t>C</w:t>
      </w:r>
      <w:r w:rsidR="00591BB0" w:rsidRPr="00574FC6">
        <w:t>ommittees which manage coastal reserves require specific information to complement these guidelines.  This is available from your local DELWP regional office and from the</w:t>
      </w:r>
      <w:r w:rsidR="000C047B">
        <w:t xml:space="preserve"> </w:t>
      </w:r>
      <w:hyperlink r:id="rId12" w:history="1">
        <w:r w:rsidR="000C047B">
          <w:rPr>
            <w:rStyle w:val="Hyperlink"/>
          </w:rPr>
          <w:t>Marine and Coast</w:t>
        </w:r>
      </w:hyperlink>
      <w:r w:rsidR="000C047B">
        <w:rPr>
          <w:rStyle w:val="Hyperlink"/>
        </w:rPr>
        <w:t xml:space="preserve"> </w:t>
      </w:r>
      <w:r w:rsidR="000C047B">
        <w:rPr>
          <w:lang w:eastAsia="en-AU"/>
        </w:rPr>
        <w:t>section of the DELWP website.</w:t>
      </w:r>
    </w:p>
    <w:bookmarkEnd w:id="9"/>
    <w:bookmarkEnd w:id="10"/>
    <w:p w14:paraId="3A7A9FBC" w14:textId="11D822E2" w:rsidR="00EA029E" w:rsidRDefault="00EA029E" w:rsidP="00E83CB0">
      <w:pPr>
        <w:pStyle w:val="HB"/>
        <w:ind w:left="720"/>
      </w:pPr>
      <w:r>
        <w:t>Other committees</w:t>
      </w:r>
    </w:p>
    <w:p w14:paraId="39033418" w14:textId="736E0236" w:rsidR="00EA029E" w:rsidRDefault="00543B7A" w:rsidP="00E83CB0">
      <w:pPr>
        <w:pStyle w:val="Body"/>
        <w:ind w:left="720"/>
      </w:pPr>
      <w:r>
        <w:t>I</w:t>
      </w:r>
      <w:r w:rsidR="00A47161">
        <w:t xml:space="preserve">ncorporated associations </w:t>
      </w:r>
      <w:r w:rsidR="00543360">
        <w:t>(category 4)</w:t>
      </w:r>
      <w:r w:rsidR="00FD6A96">
        <w:t xml:space="preserve"> </w:t>
      </w:r>
      <w:r w:rsidR="000D038D">
        <w:t>will find the guidelines useful reading</w:t>
      </w:r>
      <w:r w:rsidR="00070606">
        <w:t xml:space="preserve">, </w:t>
      </w:r>
      <w:r w:rsidR="00F932BB">
        <w:t xml:space="preserve">whilst </w:t>
      </w:r>
      <w:r w:rsidR="00070606">
        <w:t xml:space="preserve">noting they </w:t>
      </w:r>
      <w:r w:rsidR="005B5375">
        <w:t xml:space="preserve">are subject to </w:t>
      </w:r>
      <w:r w:rsidR="00070606">
        <w:t xml:space="preserve">a regulatory regime </w:t>
      </w:r>
      <w:r w:rsidR="00070606">
        <w:rPr>
          <w:lang w:val="en"/>
        </w:rPr>
        <w:t xml:space="preserve">administered by </w:t>
      </w:r>
      <w:hyperlink r:id="rId13" w:history="1">
        <w:r w:rsidR="00070606" w:rsidRPr="0036033E">
          <w:rPr>
            <w:rStyle w:val="Hyperlink"/>
            <w:lang w:val="en"/>
          </w:rPr>
          <w:t>Consumer Affairs Victoria</w:t>
        </w:r>
      </w:hyperlink>
      <w:r w:rsidR="00070606">
        <w:rPr>
          <w:lang w:val="en"/>
        </w:rPr>
        <w:t xml:space="preserve">. </w:t>
      </w:r>
      <w:r w:rsidR="00543360">
        <w:t xml:space="preserve"> </w:t>
      </w:r>
    </w:p>
    <w:p w14:paraId="61F83440" w14:textId="5E57D531" w:rsidR="009063BA" w:rsidRDefault="00B239F1" w:rsidP="009063BA">
      <w:pPr>
        <w:spacing w:before="300"/>
        <w:rPr>
          <w:lang w:eastAsia="en-AU"/>
        </w:rPr>
      </w:pPr>
      <w:r>
        <w:rPr>
          <w:lang w:eastAsia="en-AU"/>
        </w:rPr>
        <w:t>W</w:t>
      </w:r>
      <w:r w:rsidR="009063BA">
        <w:rPr>
          <w:lang w:eastAsia="en-AU"/>
        </w:rPr>
        <w:t xml:space="preserve">hen using these guidelines, please </w:t>
      </w:r>
      <w:r w:rsidR="009063BA" w:rsidRPr="00FB3CC3">
        <w:rPr>
          <w:lang w:eastAsia="en-AU"/>
        </w:rPr>
        <w:t>remember</w:t>
      </w:r>
      <w:r w:rsidR="009063BA">
        <w:rPr>
          <w:lang w:eastAsia="en-AU"/>
        </w:rPr>
        <w:t>:</w:t>
      </w:r>
      <w:r w:rsidR="009063BA" w:rsidRPr="00FB3CC3">
        <w:rPr>
          <w:lang w:eastAsia="en-AU"/>
        </w:rPr>
        <w:t xml:space="preserve"> </w:t>
      </w:r>
    </w:p>
    <w:p w14:paraId="09F969B3" w14:textId="77777777" w:rsidR="009063BA" w:rsidRDefault="009063BA" w:rsidP="009063BA">
      <w:pPr>
        <w:pStyle w:val="ListBullet"/>
        <w:rPr>
          <w:i/>
          <w:lang w:eastAsia="en-AU"/>
        </w:rPr>
      </w:pPr>
      <w:r>
        <w:rPr>
          <w:lang w:eastAsia="en-AU"/>
        </w:rPr>
        <w:t>n</w:t>
      </w:r>
      <w:r w:rsidRPr="00FB3CC3">
        <w:rPr>
          <w:lang w:eastAsia="en-AU"/>
        </w:rPr>
        <w:t xml:space="preserve">o set of guidelines can address every situation or issue that may need to be considered by a committee of management.  Guidance on specific issues is available from your local </w:t>
      </w:r>
      <w:hyperlink r:id="rId14" w:history="1">
        <w:r w:rsidRPr="00FB3CC3">
          <w:rPr>
            <w:rStyle w:val="Hyperlink"/>
          </w:rPr>
          <w:t>DELWP regional office</w:t>
        </w:r>
      </w:hyperlink>
      <w:r>
        <w:rPr>
          <w:i/>
          <w:lang w:eastAsia="en-AU"/>
        </w:rPr>
        <w:t xml:space="preserve"> </w:t>
      </w:r>
    </w:p>
    <w:p w14:paraId="4C7C91F5" w14:textId="57F612BA" w:rsidR="009063BA" w:rsidRPr="00CA1FA9" w:rsidRDefault="009063BA">
      <w:pPr>
        <w:pStyle w:val="ListBullet"/>
      </w:pPr>
      <w:r>
        <w:rPr>
          <w:lang w:eastAsia="en-AU"/>
        </w:rPr>
        <w:t>if you are</w:t>
      </w:r>
      <w:r w:rsidRPr="00B82219">
        <w:rPr>
          <w:lang w:eastAsia="en-AU"/>
        </w:rPr>
        <w:t xml:space="preserve"> </w:t>
      </w:r>
      <w:r>
        <w:rPr>
          <w:lang w:eastAsia="en-AU"/>
        </w:rPr>
        <w:t>reading online</w:t>
      </w:r>
      <w:r w:rsidRPr="00B82219">
        <w:rPr>
          <w:lang w:eastAsia="en-AU"/>
        </w:rPr>
        <w:t xml:space="preserve"> </w:t>
      </w:r>
      <w:r>
        <w:rPr>
          <w:lang w:eastAsia="en-AU"/>
        </w:rPr>
        <w:t xml:space="preserve">you can </w:t>
      </w:r>
      <w:r w:rsidRPr="00B82219">
        <w:rPr>
          <w:lang w:eastAsia="en-AU"/>
        </w:rPr>
        <w:t xml:space="preserve">click the underlined links for further information.  </w:t>
      </w:r>
      <w:r>
        <w:rPr>
          <w:lang w:eastAsia="en-AU"/>
        </w:rPr>
        <w:t>If you are reading</w:t>
      </w:r>
      <w:r w:rsidRPr="00B82219">
        <w:rPr>
          <w:lang w:eastAsia="en-AU"/>
        </w:rPr>
        <w:t xml:space="preserve"> </w:t>
      </w:r>
      <w:r>
        <w:rPr>
          <w:lang w:eastAsia="en-AU"/>
        </w:rPr>
        <w:t>a</w:t>
      </w:r>
      <w:r w:rsidRPr="00B82219">
        <w:rPr>
          <w:lang w:eastAsia="en-AU"/>
        </w:rPr>
        <w:t xml:space="preserve"> printed</w:t>
      </w:r>
      <w:r>
        <w:rPr>
          <w:lang w:eastAsia="en-AU"/>
        </w:rPr>
        <w:t xml:space="preserve"> </w:t>
      </w:r>
      <w:r w:rsidRPr="00B82219">
        <w:rPr>
          <w:lang w:eastAsia="en-AU"/>
        </w:rPr>
        <w:t>version</w:t>
      </w:r>
      <w:r>
        <w:rPr>
          <w:lang w:eastAsia="en-AU"/>
        </w:rPr>
        <w:t xml:space="preserve"> you can </w:t>
      </w:r>
      <w:r w:rsidRPr="00B82219">
        <w:rPr>
          <w:lang w:eastAsia="en-AU"/>
        </w:rPr>
        <w:t>see</w:t>
      </w:r>
      <w:r>
        <w:rPr>
          <w:lang w:eastAsia="en-AU"/>
        </w:rPr>
        <w:t xml:space="preserve"> the full hyperlink in</w:t>
      </w:r>
      <w:r w:rsidRPr="00B82219">
        <w:rPr>
          <w:lang w:eastAsia="en-AU"/>
        </w:rPr>
        <w:t xml:space="preserve"> the</w:t>
      </w:r>
      <w:r>
        <w:rPr>
          <w:lang w:eastAsia="en-AU"/>
        </w:rPr>
        <w:t xml:space="preserve"> chapter 14, ‘Contacts and useful </w:t>
      </w:r>
      <w:proofErr w:type="gramStart"/>
      <w:r>
        <w:rPr>
          <w:lang w:eastAsia="en-AU"/>
        </w:rPr>
        <w:t>links’</w:t>
      </w:r>
      <w:proofErr w:type="gramEnd"/>
      <w:r>
        <w:rPr>
          <w:lang w:eastAsia="en-AU"/>
        </w:rPr>
        <w:t xml:space="preserve">. </w:t>
      </w:r>
    </w:p>
    <w:p w14:paraId="0DF67D04" w14:textId="77777777" w:rsidR="00D472E5" w:rsidRDefault="009B5785" w:rsidP="009B5785">
      <w:pPr>
        <w:pStyle w:val="Heading2"/>
      </w:pPr>
      <w:r>
        <w:t>1.3</w:t>
      </w:r>
      <w:r>
        <w:tab/>
      </w:r>
      <w:r w:rsidRPr="009B5785">
        <w:t>‘Help from DELWP’</w:t>
      </w:r>
    </w:p>
    <w:p w14:paraId="0DF67D05" w14:textId="77777777" w:rsidR="009B5785" w:rsidRDefault="009B5785" w:rsidP="009B5785">
      <w:pPr>
        <w:rPr>
          <w:lang w:eastAsia="en-AU"/>
        </w:rPr>
      </w:pPr>
      <w:r>
        <w:rPr>
          <w:lang w:eastAsia="en-AU"/>
        </w:rPr>
        <w:t>DELWP offers a range of simple, easy to understand guidance for small committees, including:</w:t>
      </w:r>
    </w:p>
    <w:p w14:paraId="0DF67D06" w14:textId="77777777" w:rsidR="009B5785" w:rsidRDefault="009B5785" w:rsidP="009B5785">
      <w:pPr>
        <w:pStyle w:val="ListBullet"/>
        <w:spacing w:after="120"/>
        <w:rPr>
          <w:lang w:eastAsia="en-AU"/>
        </w:rPr>
      </w:pPr>
      <w:r w:rsidRPr="00D95284">
        <w:rPr>
          <w:b/>
        </w:rPr>
        <w:t>induction pack</w:t>
      </w:r>
      <w:r w:rsidRPr="00EB6511">
        <w:rPr>
          <w:color w:val="228591"/>
          <w:lang w:eastAsia="en-AU"/>
        </w:rPr>
        <w:t xml:space="preserve"> </w:t>
      </w:r>
      <w:r>
        <w:rPr>
          <w:lang w:eastAsia="en-AU"/>
        </w:rPr>
        <w:t xml:space="preserve">with guidance notes on topics such as meetings and decisions, conflict of interest, code of conduct, and dispute resolution.  </w:t>
      </w:r>
      <w:r w:rsidR="00975E0C">
        <w:rPr>
          <w:lang w:eastAsia="en-AU"/>
        </w:rPr>
        <w:t>The induction pack can also be used as a ‘refresher pack’ to assist experienced committee members to keep up to date with governance requirements.</w:t>
      </w:r>
    </w:p>
    <w:p w14:paraId="0DF67D07" w14:textId="77777777" w:rsidR="009B5785" w:rsidRDefault="009B5785" w:rsidP="009B5785">
      <w:pPr>
        <w:pStyle w:val="ListBullet"/>
        <w:spacing w:after="120"/>
        <w:rPr>
          <w:lang w:eastAsia="en-AU"/>
        </w:rPr>
      </w:pPr>
      <w:r w:rsidRPr="00D95284">
        <w:rPr>
          <w:b/>
        </w:rPr>
        <w:t>policy pack</w:t>
      </w:r>
      <w:r w:rsidRPr="00EB6511">
        <w:rPr>
          <w:color w:val="228591"/>
          <w:lang w:eastAsia="en-AU"/>
        </w:rPr>
        <w:t xml:space="preserve"> </w:t>
      </w:r>
      <w:r>
        <w:rPr>
          <w:lang w:eastAsia="en-AU"/>
        </w:rPr>
        <w:t xml:space="preserve">with </w:t>
      </w:r>
      <w:r w:rsidRPr="00B82219">
        <w:rPr>
          <w:lang w:eastAsia="en-AU"/>
        </w:rPr>
        <w:t>model policies</w:t>
      </w:r>
      <w:r>
        <w:rPr>
          <w:lang w:eastAsia="en-AU"/>
        </w:rPr>
        <w:t xml:space="preserve"> on topics that your committee is expected to have a suitable policy on. Your committee can simply insert its name into the model policies and adopt them.</w:t>
      </w:r>
    </w:p>
    <w:p w14:paraId="0DF67D08" w14:textId="77777777" w:rsidR="009B5785" w:rsidRPr="00B82219" w:rsidRDefault="009B5785" w:rsidP="005A48B0">
      <w:pPr>
        <w:spacing w:after="400"/>
        <w:rPr>
          <w:lang w:eastAsia="en-AU"/>
        </w:rPr>
      </w:pPr>
      <w:r>
        <w:rPr>
          <w:lang w:eastAsia="en-AU"/>
        </w:rPr>
        <w:t xml:space="preserve">The resources offered by DELWP are listed in the </w:t>
      </w:r>
      <w:r w:rsidRPr="006221DB">
        <w:rPr>
          <w:i/>
          <w:lang w:eastAsia="en-AU"/>
        </w:rPr>
        <w:t>Help from DELWP</w:t>
      </w:r>
      <w:r>
        <w:rPr>
          <w:lang w:eastAsia="en-AU"/>
        </w:rPr>
        <w:t xml:space="preserve"> guidance note.  They are available from the </w:t>
      </w:r>
      <w:hyperlink r:id="rId15" w:history="1">
        <w:r w:rsidRPr="00734984">
          <w:rPr>
            <w:rStyle w:val="Hyperlink"/>
            <w:lang w:eastAsia="en-AU"/>
          </w:rPr>
          <w:t>Committees of Management</w:t>
        </w:r>
      </w:hyperlink>
      <w:r w:rsidRPr="00B82219">
        <w:rPr>
          <w:lang w:eastAsia="en-AU"/>
        </w:rPr>
        <w:t xml:space="preserve"> support module </w:t>
      </w:r>
      <w:r>
        <w:rPr>
          <w:lang w:eastAsia="en-AU"/>
        </w:rPr>
        <w:t xml:space="preserve">or contact your local </w:t>
      </w:r>
      <w:hyperlink r:id="rId16" w:history="1">
        <w:r w:rsidRPr="00365FE1">
          <w:rPr>
            <w:rStyle w:val="Hyperlink"/>
          </w:rPr>
          <w:t>DELWP office</w:t>
        </w:r>
      </w:hyperlink>
      <w:r>
        <w:rPr>
          <w:lang w:eastAsia="en-AU"/>
        </w:rPr>
        <w:t>.</w:t>
      </w:r>
    </w:p>
    <w:p w14:paraId="0DF67D09" w14:textId="77777777" w:rsidR="007727EE" w:rsidRPr="007727EE" w:rsidRDefault="007727EE" w:rsidP="007727EE">
      <w:pPr>
        <w:shd w:val="clear" w:color="auto" w:fill="DBE5F1" w:themeFill="accent1" w:themeFillTint="33"/>
        <w:spacing w:after="0" w:line="240" w:lineRule="auto"/>
        <w:rPr>
          <w:sz w:val="8"/>
          <w:szCs w:val="8"/>
        </w:rPr>
      </w:pPr>
    </w:p>
    <w:p w14:paraId="0DF67D0A" w14:textId="77777777" w:rsidR="003D103F" w:rsidRPr="005A48B0" w:rsidRDefault="005A48B0" w:rsidP="007727EE">
      <w:pPr>
        <w:shd w:val="clear" w:color="auto" w:fill="DBE5F1" w:themeFill="accent1" w:themeFillTint="33"/>
        <w:spacing w:before="100" w:after="140"/>
        <w:ind w:left="142" w:hanging="142"/>
        <w:rPr>
          <w:b/>
        </w:rPr>
      </w:pPr>
      <w:r>
        <w:rPr>
          <w:b/>
        </w:rPr>
        <w:t>Quick links</w:t>
      </w:r>
    </w:p>
    <w:p w14:paraId="0DF67D0B" w14:textId="611F09A1" w:rsidR="0031109E" w:rsidRDefault="003D103F" w:rsidP="007727EE">
      <w:pPr>
        <w:shd w:val="clear" w:color="auto" w:fill="DBE5F1" w:themeFill="accent1" w:themeFillTint="33"/>
        <w:spacing w:after="140"/>
        <w:ind w:left="142" w:hanging="142"/>
        <w:rPr>
          <w:lang w:eastAsia="en-AU"/>
        </w:rPr>
      </w:pPr>
      <w:r>
        <w:rPr>
          <w:lang w:eastAsia="en-AU"/>
        </w:rPr>
        <w:t>Committees</w:t>
      </w:r>
      <w:r w:rsidR="005A48B0">
        <w:rPr>
          <w:lang w:eastAsia="en-AU"/>
        </w:rPr>
        <w:t xml:space="preserve"> of management support module </w:t>
      </w:r>
    </w:p>
    <w:p w14:paraId="0DF67D0C" w14:textId="77777777" w:rsidR="003D103F" w:rsidRDefault="00E83CB0" w:rsidP="007727EE">
      <w:pPr>
        <w:shd w:val="clear" w:color="auto" w:fill="DBE5F1" w:themeFill="accent1" w:themeFillTint="33"/>
        <w:spacing w:after="140"/>
        <w:ind w:left="142" w:hanging="142"/>
        <w:rPr>
          <w:lang w:eastAsia="en-AU"/>
        </w:rPr>
      </w:pPr>
      <w:hyperlink r:id="rId17" w:history="1">
        <w:r w:rsidR="003D103F" w:rsidRPr="00E34080">
          <w:rPr>
            <w:rStyle w:val="Hyperlink"/>
            <w:lang w:eastAsia="en-AU"/>
          </w:rPr>
          <w:t>www.delwp.vic.gov.au/committees</w:t>
        </w:r>
      </w:hyperlink>
    </w:p>
    <w:p w14:paraId="0DF67D0D" w14:textId="70B0973E" w:rsidR="0031109E" w:rsidRDefault="003D103F" w:rsidP="007727EE">
      <w:pPr>
        <w:shd w:val="clear" w:color="auto" w:fill="DBE5F1" w:themeFill="accent1" w:themeFillTint="33"/>
        <w:spacing w:after="140"/>
        <w:ind w:left="142" w:hanging="142"/>
        <w:rPr>
          <w:lang w:eastAsia="en-AU"/>
        </w:rPr>
      </w:pPr>
      <w:r>
        <w:rPr>
          <w:lang w:eastAsia="en-AU"/>
        </w:rPr>
        <w:t>On Boa</w:t>
      </w:r>
      <w:r w:rsidR="005A48B0">
        <w:rPr>
          <w:lang w:eastAsia="en-AU"/>
        </w:rPr>
        <w:t>rd, DELWP’s governance website</w:t>
      </w:r>
      <w:r>
        <w:rPr>
          <w:lang w:eastAsia="en-AU"/>
        </w:rPr>
        <w:t xml:space="preserve"> </w:t>
      </w:r>
    </w:p>
    <w:p w14:paraId="0DF67D0E" w14:textId="77777777" w:rsidR="003D103F" w:rsidRDefault="00E83CB0" w:rsidP="007727EE">
      <w:pPr>
        <w:shd w:val="clear" w:color="auto" w:fill="DBE5F1" w:themeFill="accent1" w:themeFillTint="33"/>
        <w:spacing w:after="140"/>
        <w:ind w:left="142" w:hanging="142"/>
        <w:rPr>
          <w:lang w:eastAsia="en-AU"/>
        </w:rPr>
      </w:pPr>
      <w:hyperlink r:id="rId18" w:history="1">
        <w:r w:rsidR="003D103F" w:rsidRPr="00E34080">
          <w:rPr>
            <w:rStyle w:val="Hyperlink"/>
            <w:lang w:eastAsia="en-AU"/>
          </w:rPr>
          <w:t>www.delwp.vic.gov.au/onboard</w:t>
        </w:r>
      </w:hyperlink>
      <w:r w:rsidR="003D103F">
        <w:rPr>
          <w:lang w:eastAsia="en-AU"/>
        </w:rPr>
        <w:t xml:space="preserve"> </w:t>
      </w:r>
    </w:p>
    <w:p w14:paraId="0DF67D0F" w14:textId="77777777" w:rsidR="007727EE" w:rsidRPr="007727EE" w:rsidRDefault="007727EE" w:rsidP="007727EE">
      <w:pPr>
        <w:shd w:val="clear" w:color="auto" w:fill="DBE5F1" w:themeFill="accent1" w:themeFillTint="33"/>
        <w:spacing w:after="0" w:line="240" w:lineRule="auto"/>
        <w:rPr>
          <w:sz w:val="8"/>
          <w:szCs w:val="8"/>
        </w:rPr>
      </w:pPr>
    </w:p>
    <w:sectPr w:rsidR="007727EE" w:rsidRPr="007727EE" w:rsidSect="00E86461">
      <w:headerReference w:type="even" r:id="rId19"/>
      <w:headerReference w:type="default" r:id="rId20"/>
      <w:footerReference w:type="even" r:id="rId21"/>
      <w:footerReference w:type="default" r:id="rId22"/>
      <w:headerReference w:type="first" r:id="rId23"/>
      <w:footerReference w:type="first" r:id="rId24"/>
      <w:pgSz w:w="11906" w:h="16838"/>
      <w:pgMar w:top="170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0EBA9" w14:textId="77777777" w:rsidR="00B171E1" w:rsidRDefault="00B171E1" w:rsidP="00DE066B">
      <w:pPr>
        <w:spacing w:after="0" w:line="240" w:lineRule="auto"/>
      </w:pPr>
      <w:r>
        <w:separator/>
      </w:r>
    </w:p>
  </w:endnote>
  <w:endnote w:type="continuationSeparator" w:id="0">
    <w:p w14:paraId="7FC43231" w14:textId="77777777" w:rsidR="00B171E1" w:rsidRDefault="00B171E1" w:rsidP="00DE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7D18" w14:textId="77777777" w:rsidR="000A5FB1" w:rsidRDefault="000A5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890908"/>
      <w:docPartObj>
        <w:docPartGallery w:val="Page Numbers (Bottom of Page)"/>
        <w:docPartUnique/>
      </w:docPartObj>
    </w:sdtPr>
    <w:sdtEndPr/>
    <w:sdtContent>
      <w:sdt>
        <w:sdtPr>
          <w:id w:val="431089286"/>
          <w:docPartObj>
            <w:docPartGallery w:val="Page Numbers (Bottom of Page)"/>
            <w:docPartUnique/>
          </w:docPartObj>
        </w:sdtPr>
        <w:sdtEndPr>
          <w:rPr>
            <w:i/>
            <w:sz w:val="12"/>
            <w:szCs w:val="12"/>
          </w:rPr>
        </w:sdtEndPr>
        <w:sdtContent>
          <w:p w14:paraId="0DF67D19" w14:textId="0D536989" w:rsidR="00DE066B" w:rsidRPr="00A870F6" w:rsidRDefault="008521E4" w:rsidP="004F508A">
            <w:pPr>
              <w:tabs>
                <w:tab w:val="left" w:pos="1134"/>
                <w:tab w:val="center" w:pos="4320"/>
                <w:tab w:val="left" w:pos="6096"/>
                <w:tab w:val="left" w:pos="6521"/>
                <w:tab w:val="right" w:pos="8640"/>
              </w:tabs>
              <w:spacing w:before="100" w:after="0" w:line="240" w:lineRule="auto"/>
              <w:rPr>
                <w:noProof/>
                <w:sz w:val="16"/>
                <w:szCs w:val="16"/>
              </w:rPr>
            </w:pPr>
            <w:r>
              <w:rPr>
                <w:i/>
                <w:noProof/>
                <w:sz w:val="12"/>
                <w:szCs w:val="12"/>
              </w:rPr>
              <w:t>1.</w:t>
            </w:r>
            <w:r w:rsidR="00E83CB0">
              <w:rPr>
                <w:i/>
                <w:noProof/>
                <w:sz w:val="12"/>
                <w:szCs w:val="12"/>
              </w:rPr>
              <w:t>33</w:t>
            </w:r>
            <w:bookmarkStart w:id="11" w:name="_GoBack"/>
            <w:bookmarkEnd w:id="11"/>
            <w:r w:rsidR="008C6E9D">
              <w:rPr>
                <w:noProof/>
                <w:sz w:val="16"/>
                <w:szCs w:val="16"/>
              </w:rPr>
              <w:tab/>
            </w:r>
            <w:r w:rsidR="003E65A7">
              <w:rPr>
                <w:noProof/>
                <w:sz w:val="16"/>
                <w:szCs w:val="16"/>
              </w:rPr>
              <w:t xml:space="preserve">Chapter 1 – Introduction </w:t>
            </w:r>
            <w:r w:rsidR="008C6E9D">
              <w:rPr>
                <w:noProof/>
                <w:sz w:val="16"/>
                <w:szCs w:val="16"/>
              </w:rPr>
              <w:tab/>
            </w:r>
            <w:r w:rsidR="003E65A7">
              <w:rPr>
                <w:noProof/>
                <w:sz w:val="16"/>
                <w:szCs w:val="16"/>
              </w:rPr>
              <w:t xml:space="preserve">Page </w:t>
            </w:r>
            <w:r w:rsidR="00EF58EB" w:rsidRPr="008A5803">
              <w:rPr>
                <w:sz w:val="16"/>
                <w:szCs w:val="16"/>
              </w:rPr>
              <w:fldChar w:fldCharType="begin"/>
            </w:r>
            <w:r w:rsidR="00EF58EB" w:rsidRPr="008A5803">
              <w:rPr>
                <w:sz w:val="16"/>
                <w:szCs w:val="16"/>
              </w:rPr>
              <w:instrText xml:space="preserve"> PAGE   \* MERGEFORMAT </w:instrText>
            </w:r>
            <w:r w:rsidR="00EF58EB" w:rsidRPr="008A5803">
              <w:rPr>
                <w:sz w:val="16"/>
                <w:szCs w:val="16"/>
              </w:rPr>
              <w:fldChar w:fldCharType="separate"/>
            </w:r>
            <w:r w:rsidR="00E01FFE">
              <w:rPr>
                <w:noProof/>
                <w:sz w:val="16"/>
                <w:szCs w:val="16"/>
              </w:rPr>
              <w:t>3</w:t>
            </w:r>
            <w:r w:rsidR="00EF58EB" w:rsidRPr="008A5803">
              <w:rPr>
                <w:noProof/>
                <w:sz w:val="16"/>
                <w:szCs w:val="16"/>
              </w:rPr>
              <w:fldChar w:fldCharType="end"/>
            </w:r>
            <w:r w:rsidR="00EF58EB" w:rsidRPr="008A5803">
              <w:rPr>
                <w:noProof/>
                <w:sz w:val="16"/>
                <w:szCs w:val="16"/>
              </w:rPr>
              <w:t xml:space="preserve"> of </w:t>
            </w:r>
            <w:r w:rsidR="00EF58EB" w:rsidRPr="008A5803">
              <w:rPr>
                <w:noProof/>
                <w:sz w:val="16"/>
                <w:szCs w:val="16"/>
              </w:rPr>
              <w:fldChar w:fldCharType="begin"/>
            </w:r>
            <w:r w:rsidR="00EF58EB" w:rsidRPr="008A5803">
              <w:rPr>
                <w:noProof/>
                <w:sz w:val="16"/>
                <w:szCs w:val="16"/>
              </w:rPr>
              <w:instrText xml:space="preserve"> NUMPAGES   \* MERGEFORMAT </w:instrText>
            </w:r>
            <w:r w:rsidR="00EF58EB" w:rsidRPr="008A5803">
              <w:rPr>
                <w:noProof/>
                <w:sz w:val="16"/>
                <w:szCs w:val="16"/>
              </w:rPr>
              <w:fldChar w:fldCharType="separate"/>
            </w:r>
            <w:r w:rsidR="00E01FFE">
              <w:rPr>
                <w:noProof/>
                <w:sz w:val="16"/>
                <w:szCs w:val="16"/>
              </w:rPr>
              <w:t>3</w:t>
            </w:r>
            <w:r w:rsidR="00EF58EB" w:rsidRPr="008A5803">
              <w:rPr>
                <w:noProof/>
                <w:sz w:val="16"/>
                <w:szCs w:val="16"/>
              </w:rPr>
              <w:fldChar w:fldCharType="end"/>
            </w:r>
            <w:r w:rsidR="00EF58EB">
              <w:rPr>
                <w:noProof/>
                <w:sz w:val="16"/>
                <w:szCs w:val="16"/>
              </w:rPr>
              <w:tab/>
            </w:r>
            <w:r w:rsidR="00EF58EB">
              <w:rPr>
                <w:noProof/>
                <w:sz w:val="16"/>
                <w:szCs w:val="16"/>
              </w:rPr>
              <w:tab/>
            </w:r>
            <w:r w:rsidR="004F508A">
              <w:rPr>
                <w:noProof/>
                <w:sz w:val="16"/>
                <w:szCs w:val="16"/>
              </w:rPr>
              <w:tab/>
              <w:t>Last updated: 1 November 2015</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7D1B" w14:textId="77777777" w:rsidR="000A5FB1" w:rsidRDefault="000A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93DAE" w14:textId="77777777" w:rsidR="00B171E1" w:rsidRDefault="00B171E1" w:rsidP="00DE066B">
      <w:pPr>
        <w:spacing w:after="0" w:line="240" w:lineRule="auto"/>
      </w:pPr>
      <w:r>
        <w:separator/>
      </w:r>
    </w:p>
  </w:footnote>
  <w:footnote w:type="continuationSeparator" w:id="0">
    <w:p w14:paraId="58520393" w14:textId="77777777" w:rsidR="00B171E1" w:rsidRDefault="00B171E1" w:rsidP="00DE0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7D16" w14:textId="77777777" w:rsidR="000A5FB1" w:rsidRDefault="000A5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7D17" w14:textId="77777777" w:rsidR="00F53311" w:rsidRPr="0016015A" w:rsidRDefault="0016015A" w:rsidP="0016015A">
    <w:pPr>
      <w:pStyle w:val="Header"/>
      <w:rPr>
        <w:rStyle w:val="SubtleEmphasis"/>
      </w:rPr>
    </w:pPr>
    <w:r w:rsidRPr="0016015A">
      <w:rPr>
        <w:rStyle w:val="SubtleEmphasis"/>
      </w:rPr>
      <w:t>Committees of Management Responsibilities and Good Practice Guidelines 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7D1A" w14:textId="77777777" w:rsidR="000A5FB1" w:rsidRDefault="000A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8C0E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1E1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84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450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27D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D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301F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DE2BAE"/>
    <w:lvl w:ilvl="0">
      <w:start w:val="1"/>
      <w:numFmt w:val="bullet"/>
      <w:pStyle w:val="ListBullet2"/>
      <w:lvlText w:val=""/>
      <w:lvlJc w:val="left"/>
      <w:pPr>
        <w:ind w:left="643" w:hanging="360"/>
      </w:pPr>
      <w:rPr>
        <w:rFonts w:ascii="Symbol" w:hAnsi="Symbol" w:hint="default"/>
      </w:rPr>
    </w:lvl>
  </w:abstractNum>
  <w:abstractNum w:abstractNumId="8" w15:restartNumberingAfterBreak="0">
    <w:nsid w:val="FFFFFF88"/>
    <w:multiLevelType w:val="singleLevel"/>
    <w:tmpl w:val="BC0A45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783E82"/>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03AE6B5B"/>
    <w:multiLevelType w:val="hybridMultilevel"/>
    <w:tmpl w:val="A1BAD0A2"/>
    <w:lvl w:ilvl="0" w:tplc="4BB85A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1956F9"/>
    <w:multiLevelType w:val="hybridMultilevel"/>
    <w:tmpl w:val="141A8E04"/>
    <w:lvl w:ilvl="0" w:tplc="C27ED8FC">
      <w:start w:val="1"/>
      <w:numFmt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E7134"/>
    <w:multiLevelType w:val="hybridMultilevel"/>
    <w:tmpl w:val="5A9EF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5A639C"/>
    <w:multiLevelType w:val="hybridMultilevel"/>
    <w:tmpl w:val="3A58A018"/>
    <w:lvl w:ilvl="0" w:tplc="6D2834B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63405C"/>
    <w:multiLevelType w:val="hybridMultilevel"/>
    <w:tmpl w:val="86001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11"/>
  </w:num>
  <w:num w:numId="5">
    <w:abstractNumId w:val="14"/>
  </w:num>
  <w:num w:numId="6">
    <w:abstractNumId w:val="7"/>
  </w:num>
  <w:num w:numId="7">
    <w:abstractNumId w:val="6"/>
  </w:num>
  <w:num w:numId="8">
    <w:abstractNumId w:val="8"/>
  </w:num>
  <w:num w:numId="9">
    <w:abstractNumId w:val="3"/>
  </w:num>
  <w:num w:numId="10">
    <w:abstractNumId w:val="5"/>
  </w:num>
  <w:num w:numId="11">
    <w:abstractNumId w:val="4"/>
  </w:num>
  <w:num w:numId="12">
    <w:abstractNumId w:val="2"/>
  </w:num>
  <w:num w:numId="13">
    <w:abstractNumId w:val="1"/>
  </w:num>
  <w:num w:numId="14">
    <w:abstractNumId w:val="0"/>
  </w:num>
  <w:num w:numId="15">
    <w:abstractNumId w:val="9"/>
  </w:num>
  <w:num w:numId="16">
    <w:abstractNumId w:val="9"/>
  </w:num>
  <w:num w:numId="17">
    <w:abstractNumId w:val="7"/>
  </w:num>
  <w:num w:numId="18">
    <w:abstractNumId w:val="9"/>
  </w:num>
  <w:num w:numId="19">
    <w:abstractNumId w:val="7"/>
  </w:num>
  <w:num w:numId="20">
    <w:abstractNumId w:val="9"/>
  </w:num>
  <w:num w:numId="21">
    <w:abstractNumId w:val="7"/>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66B"/>
    <w:rsid w:val="00017AC1"/>
    <w:rsid w:val="00027CC0"/>
    <w:rsid w:val="00050324"/>
    <w:rsid w:val="000557AA"/>
    <w:rsid w:val="000619BB"/>
    <w:rsid w:val="00070606"/>
    <w:rsid w:val="00072172"/>
    <w:rsid w:val="0008112C"/>
    <w:rsid w:val="000A5CF2"/>
    <w:rsid w:val="000A5FB1"/>
    <w:rsid w:val="000B644B"/>
    <w:rsid w:val="000C047B"/>
    <w:rsid w:val="000C3609"/>
    <w:rsid w:val="000D038D"/>
    <w:rsid w:val="00102924"/>
    <w:rsid w:val="0010673E"/>
    <w:rsid w:val="001106EA"/>
    <w:rsid w:val="00145CFE"/>
    <w:rsid w:val="001531E9"/>
    <w:rsid w:val="00155AEA"/>
    <w:rsid w:val="0016015A"/>
    <w:rsid w:val="00166740"/>
    <w:rsid w:val="00177BD1"/>
    <w:rsid w:val="001D6702"/>
    <w:rsid w:val="001E552F"/>
    <w:rsid w:val="001E7181"/>
    <w:rsid w:val="001F1C67"/>
    <w:rsid w:val="001F4E33"/>
    <w:rsid w:val="00201705"/>
    <w:rsid w:val="002156B9"/>
    <w:rsid w:val="00220651"/>
    <w:rsid w:val="00220BA3"/>
    <w:rsid w:val="002356AC"/>
    <w:rsid w:val="00244544"/>
    <w:rsid w:val="00252311"/>
    <w:rsid w:val="00262211"/>
    <w:rsid w:val="0027441E"/>
    <w:rsid w:val="002E778A"/>
    <w:rsid w:val="0031109E"/>
    <w:rsid w:val="00313724"/>
    <w:rsid w:val="00322D10"/>
    <w:rsid w:val="003544BC"/>
    <w:rsid w:val="003649DA"/>
    <w:rsid w:val="00365FE1"/>
    <w:rsid w:val="00371DB7"/>
    <w:rsid w:val="003928E4"/>
    <w:rsid w:val="00396343"/>
    <w:rsid w:val="003A4596"/>
    <w:rsid w:val="003A62BC"/>
    <w:rsid w:val="003D0E2E"/>
    <w:rsid w:val="003D103F"/>
    <w:rsid w:val="003D3251"/>
    <w:rsid w:val="003D79E3"/>
    <w:rsid w:val="003E65A7"/>
    <w:rsid w:val="00400438"/>
    <w:rsid w:val="004101E5"/>
    <w:rsid w:val="00422B3D"/>
    <w:rsid w:val="00426717"/>
    <w:rsid w:val="004367DB"/>
    <w:rsid w:val="004563E2"/>
    <w:rsid w:val="00461132"/>
    <w:rsid w:val="00470F6A"/>
    <w:rsid w:val="004B6EB8"/>
    <w:rsid w:val="004B7E11"/>
    <w:rsid w:val="004C08DA"/>
    <w:rsid w:val="004C4571"/>
    <w:rsid w:val="004C6201"/>
    <w:rsid w:val="004F2DF8"/>
    <w:rsid w:val="004F508A"/>
    <w:rsid w:val="00525C08"/>
    <w:rsid w:val="00542E06"/>
    <w:rsid w:val="00543360"/>
    <w:rsid w:val="00543B7A"/>
    <w:rsid w:val="00545826"/>
    <w:rsid w:val="005476F9"/>
    <w:rsid w:val="00551341"/>
    <w:rsid w:val="00554528"/>
    <w:rsid w:val="00561901"/>
    <w:rsid w:val="00565D5D"/>
    <w:rsid w:val="0058475B"/>
    <w:rsid w:val="00591BB0"/>
    <w:rsid w:val="005A48B0"/>
    <w:rsid w:val="005A609A"/>
    <w:rsid w:val="005B5375"/>
    <w:rsid w:val="005D5ECF"/>
    <w:rsid w:val="005E06FF"/>
    <w:rsid w:val="005E5367"/>
    <w:rsid w:val="005F66B5"/>
    <w:rsid w:val="00615216"/>
    <w:rsid w:val="006221DB"/>
    <w:rsid w:val="006502AA"/>
    <w:rsid w:val="006B0D28"/>
    <w:rsid w:val="006B4400"/>
    <w:rsid w:val="006F651E"/>
    <w:rsid w:val="00701F1C"/>
    <w:rsid w:val="00720279"/>
    <w:rsid w:val="00734984"/>
    <w:rsid w:val="00751E2D"/>
    <w:rsid w:val="00754CE9"/>
    <w:rsid w:val="007727EE"/>
    <w:rsid w:val="00792AAB"/>
    <w:rsid w:val="007B59DB"/>
    <w:rsid w:val="007C3165"/>
    <w:rsid w:val="007C3783"/>
    <w:rsid w:val="007E0438"/>
    <w:rsid w:val="007F631A"/>
    <w:rsid w:val="007F7E6D"/>
    <w:rsid w:val="00804873"/>
    <w:rsid w:val="00824E40"/>
    <w:rsid w:val="00832F09"/>
    <w:rsid w:val="00840E1B"/>
    <w:rsid w:val="008521E4"/>
    <w:rsid w:val="00876AA0"/>
    <w:rsid w:val="008903E9"/>
    <w:rsid w:val="00892FD6"/>
    <w:rsid w:val="008930F3"/>
    <w:rsid w:val="008A5803"/>
    <w:rsid w:val="008C22B0"/>
    <w:rsid w:val="008C3F88"/>
    <w:rsid w:val="008C6E9D"/>
    <w:rsid w:val="008D6C72"/>
    <w:rsid w:val="008E14CA"/>
    <w:rsid w:val="008F4961"/>
    <w:rsid w:val="008F5E02"/>
    <w:rsid w:val="009063BA"/>
    <w:rsid w:val="00915135"/>
    <w:rsid w:val="0094167F"/>
    <w:rsid w:val="00975E0C"/>
    <w:rsid w:val="00986BEA"/>
    <w:rsid w:val="00992C5B"/>
    <w:rsid w:val="009B5785"/>
    <w:rsid w:val="009B6D5F"/>
    <w:rsid w:val="009D4527"/>
    <w:rsid w:val="009D765D"/>
    <w:rsid w:val="00A03E44"/>
    <w:rsid w:val="00A13059"/>
    <w:rsid w:val="00A26E66"/>
    <w:rsid w:val="00A32229"/>
    <w:rsid w:val="00A43896"/>
    <w:rsid w:val="00A47161"/>
    <w:rsid w:val="00A52E77"/>
    <w:rsid w:val="00A538E9"/>
    <w:rsid w:val="00A635CC"/>
    <w:rsid w:val="00A67313"/>
    <w:rsid w:val="00A82BC7"/>
    <w:rsid w:val="00A84912"/>
    <w:rsid w:val="00A870F6"/>
    <w:rsid w:val="00A94A37"/>
    <w:rsid w:val="00AD5F95"/>
    <w:rsid w:val="00AE1BF3"/>
    <w:rsid w:val="00AE6F4A"/>
    <w:rsid w:val="00AF648E"/>
    <w:rsid w:val="00B11170"/>
    <w:rsid w:val="00B1493E"/>
    <w:rsid w:val="00B171E1"/>
    <w:rsid w:val="00B239F1"/>
    <w:rsid w:val="00B42E5E"/>
    <w:rsid w:val="00B51744"/>
    <w:rsid w:val="00B63DF4"/>
    <w:rsid w:val="00B65B6F"/>
    <w:rsid w:val="00B77CA5"/>
    <w:rsid w:val="00B929DF"/>
    <w:rsid w:val="00B938C9"/>
    <w:rsid w:val="00BB4EDD"/>
    <w:rsid w:val="00BC2F5A"/>
    <w:rsid w:val="00BC5718"/>
    <w:rsid w:val="00BC7B92"/>
    <w:rsid w:val="00BF36BB"/>
    <w:rsid w:val="00C0296B"/>
    <w:rsid w:val="00C0491B"/>
    <w:rsid w:val="00C16C88"/>
    <w:rsid w:val="00C5127E"/>
    <w:rsid w:val="00C51684"/>
    <w:rsid w:val="00C60BB3"/>
    <w:rsid w:val="00CA1E34"/>
    <w:rsid w:val="00CA1FA9"/>
    <w:rsid w:val="00CC770D"/>
    <w:rsid w:val="00CE2C4A"/>
    <w:rsid w:val="00CE4525"/>
    <w:rsid w:val="00CF15B2"/>
    <w:rsid w:val="00D039B5"/>
    <w:rsid w:val="00D2099F"/>
    <w:rsid w:val="00D34682"/>
    <w:rsid w:val="00D472E5"/>
    <w:rsid w:val="00D50920"/>
    <w:rsid w:val="00D62874"/>
    <w:rsid w:val="00D95284"/>
    <w:rsid w:val="00DA0623"/>
    <w:rsid w:val="00DD3077"/>
    <w:rsid w:val="00DE066B"/>
    <w:rsid w:val="00DF03EA"/>
    <w:rsid w:val="00E01FFE"/>
    <w:rsid w:val="00E11955"/>
    <w:rsid w:val="00E14154"/>
    <w:rsid w:val="00E373C1"/>
    <w:rsid w:val="00E424C2"/>
    <w:rsid w:val="00E53E65"/>
    <w:rsid w:val="00E55C51"/>
    <w:rsid w:val="00E566A2"/>
    <w:rsid w:val="00E62455"/>
    <w:rsid w:val="00E73A18"/>
    <w:rsid w:val="00E83CB0"/>
    <w:rsid w:val="00E86461"/>
    <w:rsid w:val="00E9285E"/>
    <w:rsid w:val="00EA029E"/>
    <w:rsid w:val="00EA3595"/>
    <w:rsid w:val="00EA6757"/>
    <w:rsid w:val="00EB5448"/>
    <w:rsid w:val="00EB6511"/>
    <w:rsid w:val="00EF20B5"/>
    <w:rsid w:val="00EF58EB"/>
    <w:rsid w:val="00F1166A"/>
    <w:rsid w:val="00F44A2E"/>
    <w:rsid w:val="00F45220"/>
    <w:rsid w:val="00F53311"/>
    <w:rsid w:val="00F56FDF"/>
    <w:rsid w:val="00F64C40"/>
    <w:rsid w:val="00F85E43"/>
    <w:rsid w:val="00F91A3B"/>
    <w:rsid w:val="00F91D93"/>
    <w:rsid w:val="00F932BB"/>
    <w:rsid w:val="00FB2591"/>
    <w:rsid w:val="00FB3CC3"/>
    <w:rsid w:val="00FC0076"/>
    <w:rsid w:val="00FC2F28"/>
    <w:rsid w:val="00FD0E8F"/>
    <w:rsid w:val="00FD6A96"/>
    <w:rsid w:val="00FE219F"/>
    <w:rsid w:val="00FF7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F67CC6"/>
  <w15:docId w15:val="{A7267A25-BC11-4D28-8F6C-7CEAB694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9"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0" w:unhideWhenUsed="1" w:qFormat="1"/>
    <w:lsdException w:name="List 3" w:semiHidden="1" w:unhideWhenUsed="1"/>
    <w:lsdException w:name="List 4" w:semiHidden="1" w:unhideWhenUsed="1"/>
    <w:lsdException w:name="List 5" w:semiHidden="1" w:unhideWhenUsed="1"/>
    <w:lsdException w:name="List Bullet 2" w:qFormat="1"/>
    <w:lsdException w:name="List Bullet 3" w:uiPriority="0"/>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502AA"/>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591BB0"/>
    <w:pPr>
      <w:keepNext/>
      <w:spacing w:before="240" w:after="60"/>
      <w:outlineLvl w:val="0"/>
    </w:pPr>
    <w:rPr>
      <w:b/>
      <w:bCs/>
      <w:kern w:val="32"/>
      <w:szCs w:val="32"/>
    </w:rPr>
  </w:style>
  <w:style w:type="paragraph" w:styleId="Heading2">
    <w:name w:val="heading 2"/>
    <w:basedOn w:val="HB"/>
    <w:next w:val="Normal"/>
    <w:link w:val="Heading2Char"/>
    <w:qFormat/>
    <w:rsid w:val="00DD3077"/>
    <w:pPr>
      <w:spacing w:before="300"/>
      <w:outlineLvl w:val="1"/>
    </w:pPr>
    <w:rPr>
      <w:sz w:val="28"/>
      <w:lang w:eastAsia="en-AU"/>
    </w:rPr>
  </w:style>
  <w:style w:type="paragraph" w:styleId="Heading3">
    <w:name w:val="heading 3"/>
    <w:basedOn w:val="Normal"/>
    <w:next w:val="Normal"/>
    <w:link w:val="Heading3Char"/>
    <w:qFormat/>
    <w:rsid w:val="00DD3077"/>
    <w:pPr>
      <w:spacing w:before="60" w:after="100"/>
      <w:outlineLvl w:val="2"/>
    </w:pPr>
    <w:rPr>
      <w:b/>
      <w:color w:val="228591"/>
      <w:sz w:val="21"/>
      <w:szCs w:val="20"/>
      <w:lang w:eastAsia="en-AU"/>
    </w:rPr>
  </w:style>
  <w:style w:type="paragraph" w:styleId="Heading4">
    <w:name w:val="heading 4"/>
    <w:basedOn w:val="Normal"/>
    <w:next w:val="Normal"/>
    <w:link w:val="Heading4Char"/>
    <w:rsid w:val="00591BB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rsid w:val="00591BB0"/>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9"/>
    <w:rsid w:val="00591B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rsid w:val="00591BB0"/>
    <w:pPr>
      <w:spacing w:before="240" w:after="60"/>
      <w:outlineLvl w:val="6"/>
    </w:pPr>
    <w:rPr>
      <w:rFonts w:ascii="Times New Roman" w:hAnsi="Times New Roman"/>
      <w:sz w:val="24"/>
    </w:rPr>
  </w:style>
  <w:style w:type="paragraph" w:styleId="Heading8">
    <w:name w:val="heading 8"/>
    <w:basedOn w:val="Normal"/>
    <w:next w:val="Normal"/>
    <w:link w:val="Heading8Char"/>
    <w:uiPriority w:val="99"/>
    <w:rsid w:val="00591BB0"/>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rsid w:val="00591BB0"/>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591BB0"/>
    <w:rPr>
      <w:rFonts w:ascii="Arial" w:hAnsi="Arial" w:cs="Arial"/>
      <w:b/>
      <w:bCs/>
      <w:kern w:val="32"/>
      <w:sz w:val="18"/>
      <w:szCs w:val="32"/>
      <w:lang w:eastAsia="en-US"/>
    </w:rPr>
  </w:style>
  <w:style w:type="character" w:customStyle="1" w:styleId="Heading2Char">
    <w:name w:val="Heading 2 Char"/>
    <w:basedOn w:val="DefaultParagraphFont"/>
    <w:link w:val="Heading2"/>
    <w:rsid w:val="00DD3077"/>
    <w:rPr>
      <w:rFonts w:ascii="Arial" w:hAnsi="Arial" w:cs="Arial"/>
      <w:b/>
      <w:color w:val="228591"/>
      <w:sz w:val="28"/>
      <w:szCs w:val="24"/>
    </w:rPr>
  </w:style>
  <w:style w:type="character" w:customStyle="1" w:styleId="Heading3Char">
    <w:name w:val="Heading 3 Char"/>
    <w:basedOn w:val="DefaultParagraphFont"/>
    <w:link w:val="Heading3"/>
    <w:rsid w:val="00DD3077"/>
    <w:rPr>
      <w:rFonts w:ascii="Arial" w:hAnsi="Arial" w:cs="Arial"/>
      <w:b/>
      <w:color w:val="228591"/>
      <w:sz w:val="21"/>
    </w:rPr>
  </w:style>
  <w:style w:type="character" w:customStyle="1" w:styleId="Heading4Char">
    <w:name w:val="Heading 4 Char"/>
    <w:basedOn w:val="DefaultParagraphFont"/>
    <w:link w:val="Heading4"/>
    <w:rsid w:val="00591BB0"/>
    <w:rPr>
      <w:rFonts w:cs="Arial"/>
      <w:b/>
      <w:bCs/>
      <w:sz w:val="28"/>
      <w:szCs w:val="28"/>
      <w:lang w:eastAsia="en-US"/>
    </w:rPr>
  </w:style>
  <w:style w:type="character" w:customStyle="1" w:styleId="Heading5Char">
    <w:name w:val="Heading 5 Char"/>
    <w:basedOn w:val="DefaultParagraphFont"/>
    <w:link w:val="Heading5"/>
    <w:uiPriority w:val="99"/>
    <w:rsid w:val="00E14154"/>
    <w:rPr>
      <w:rFonts w:cs="Arial"/>
      <w:b/>
      <w:bCs/>
      <w:i/>
      <w:iCs/>
      <w:sz w:val="26"/>
      <w:szCs w:val="26"/>
      <w:lang w:eastAsia="en-US"/>
    </w:rPr>
  </w:style>
  <w:style w:type="character" w:customStyle="1" w:styleId="Heading6Char">
    <w:name w:val="Heading 6 Char"/>
    <w:basedOn w:val="DefaultParagraphFont"/>
    <w:link w:val="Heading6"/>
    <w:uiPriority w:val="99"/>
    <w:rsid w:val="00E14154"/>
    <w:rPr>
      <w:rFonts w:cs="Arial"/>
      <w:b/>
      <w:bCs/>
      <w:sz w:val="22"/>
      <w:szCs w:val="22"/>
      <w:lang w:eastAsia="en-US"/>
    </w:rPr>
  </w:style>
  <w:style w:type="character" w:customStyle="1" w:styleId="Heading7Char">
    <w:name w:val="Heading 7 Char"/>
    <w:basedOn w:val="DefaultParagraphFont"/>
    <w:link w:val="Heading7"/>
    <w:uiPriority w:val="99"/>
    <w:rsid w:val="00E14154"/>
    <w:rPr>
      <w:rFonts w:cs="Arial"/>
      <w:sz w:val="24"/>
      <w:szCs w:val="24"/>
      <w:lang w:eastAsia="en-US"/>
    </w:rPr>
  </w:style>
  <w:style w:type="character" w:customStyle="1" w:styleId="Heading8Char">
    <w:name w:val="Heading 8 Char"/>
    <w:basedOn w:val="DefaultParagraphFont"/>
    <w:link w:val="Heading8"/>
    <w:uiPriority w:val="99"/>
    <w:rsid w:val="00E14154"/>
    <w:rPr>
      <w:rFonts w:cs="Arial"/>
      <w:i/>
      <w:iCs/>
      <w:sz w:val="24"/>
      <w:szCs w:val="24"/>
      <w:lang w:eastAsia="en-US"/>
    </w:rPr>
  </w:style>
  <w:style w:type="character" w:customStyle="1" w:styleId="Heading9Char">
    <w:name w:val="Heading 9 Char"/>
    <w:basedOn w:val="DefaultParagraphFont"/>
    <w:link w:val="Heading9"/>
    <w:uiPriority w:val="99"/>
    <w:rsid w:val="00E14154"/>
    <w:rPr>
      <w:rFonts w:ascii="Arial" w:hAnsi="Arial" w:cs="Arial"/>
      <w:sz w:val="22"/>
      <w:szCs w:val="22"/>
      <w:lang w:eastAsia="en-US"/>
    </w:rPr>
  </w:style>
  <w:style w:type="paragraph" w:styleId="Title">
    <w:name w:val="Title"/>
    <w:basedOn w:val="Normal"/>
    <w:link w:val="TitleChar"/>
    <w:qFormat/>
    <w:rsid w:val="00DD3077"/>
    <w:pPr>
      <w:spacing w:before="240" w:after="60"/>
      <w:jc w:val="center"/>
      <w:outlineLvl w:val="0"/>
    </w:pPr>
    <w:rPr>
      <w:b/>
      <w:bCs/>
      <w:kern w:val="28"/>
      <w:sz w:val="32"/>
      <w:szCs w:val="32"/>
    </w:rPr>
  </w:style>
  <w:style w:type="character" w:customStyle="1" w:styleId="TitleChar">
    <w:name w:val="Title Char"/>
    <w:basedOn w:val="DefaultParagraphFont"/>
    <w:link w:val="Title"/>
    <w:rsid w:val="00DD3077"/>
    <w:rPr>
      <w:rFonts w:ascii="Arial" w:hAnsi="Arial" w:cs="Arial"/>
      <w:b/>
      <w:bCs/>
      <w:kern w:val="28"/>
      <w:sz w:val="32"/>
      <w:szCs w:val="32"/>
      <w:lang w:eastAsia="en-US"/>
    </w:rPr>
  </w:style>
  <w:style w:type="paragraph" w:styleId="Subtitle">
    <w:name w:val="Subtitle"/>
    <w:basedOn w:val="Normal"/>
    <w:link w:val="SubtitleChar"/>
    <w:unhideWhenUsed/>
    <w:qFormat/>
    <w:rsid w:val="00DD3077"/>
    <w:pPr>
      <w:spacing w:after="60"/>
      <w:jc w:val="center"/>
      <w:outlineLvl w:val="1"/>
    </w:pPr>
    <w:rPr>
      <w:sz w:val="24"/>
    </w:rPr>
  </w:style>
  <w:style w:type="character" w:customStyle="1" w:styleId="SubtitleChar">
    <w:name w:val="Subtitle Char"/>
    <w:basedOn w:val="DefaultParagraphFont"/>
    <w:link w:val="Subtitle"/>
    <w:rsid w:val="00DD3077"/>
    <w:rPr>
      <w:rFonts w:ascii="Arial" w:hAnsi="Arial" w:cs="Arial"/>
      <w:sz w:val="24"/>
      <w:szCs w:val="24"/>
      <w:lang w:eastAsia="en-US"/>
    </w:rPr>
  </w:style>
  <w:style w:type="character" w:styleId="Strong">
    <w:name w:val="Strong"/>
    <w:rsid w:val="00591BB0"/>
    <w:rPr>
      <w:b/>
      <w:bCs/>
    </w:rPr>
  </w:style>
  <w:style w:type="character" w:styleId="Emphasis">
    <w:name w:val="Emphasis"/>
    <w:uiPriority w:val="99"/>
    <w:unhideWhenUsed/>
    <w:rsid w:val="00591BB0"/>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91BB0"/>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DD3077"/>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DD3077"/>
    <w:pPr>
      <w:numPr>
        <w:numId w:val="23"/>
      </w:numPr>
      <w:tabs>
        <w:tab w:val="left" w:pos="284"/>
      </w:tabs>
    </w:pPr>
    <w:rPr>
      <w:color w:val="419997"/>
      <w:sz w:val="23"/>
      <w:szCs w:val="23"/>
    </w:rPr>
  </w:style>
  <w:style w:type="character" w:customStyle="1" w:styleId="BulletChar">
    <w:name w:val="_Bullet Char"/>
    <w:link w:val="Bullet"/>
    <w:rsid w:val="00DD3077"/>
    <w:rPr>
      <w:rFonts w:ascii="Arial" w:hAnsi="Arial" w:cs="Arial"/>
      <w:color w:val="419997"/>
      <w:sz w:val="23"/>
      <w:szCs w:val="23"/>
      <w:lang w:eastAsia="en-US"/>
    </w:rPr>
  </w:style>
  <w:style w:type="paragraph" w:customStyle="1" w:styleId="HA">
    <w:name w:val="_HA"/>
    <w:next w:val="Body"/>
    <w:uiPriority w:val="2"/>
    <w:qFormat/>
    <w:rsid w:val="00DD3077"/>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DD3077"/>
    <w:pPr>
      <w:spacing w:before="240" w:after="100" w:line="300" w:lineRule="atLeast"/>
      <w:outlineLvl w:val="0"/>
    </w:pPr>
    <w:rPr>
      <w:rFonts w:ascii="Arial" w:hAnsi="Arial" w:cs="Arial"/>
      <w:b/>
      <w:color w:val="228591"/>
      <w:sz w:val="24"/>
      <w:szCs w:val="24"/>
      <w:lang w:eastAsia="en-US"/>
    </w:rPr>
  </w:style>
  <w:style w:type="paragraph" w:customStyle="1" w:styleId="Pullout">
    <w:name w:val="_Pullout"/>
    <w:qFormat/>
    <w:rsid w:val="00DD3077"/>
    <w:pPr>
      <w:spacing w:before="85" w:after="170" w:line="300" w:lineRule="atLeast"/>
    </w:pPr>
    <w:rPr>
      <w:rFonts w:ascii="Arial" w:hAnsi="Arial" w:cs="Arial"/>
      <w:color w:val="419997"/>
      <w:sz w:val="23"/>
      <w:szCs w:val="24"/>
      <w:lang w:eastAsia="en-US"/>
    </w:rPr>
  </w:style>
  <w:style w:type="character" w:styleId="Hyperlink">
    <w:name w:val="Hyperlink"/>
    <w:uiPriority w:val="99"/>
    <w:rsid w:val="00DE066B"/>
    <w:rPr>
      <w:color w:val="0000FF"/>
      <w:u w:val="single"/>
    </w:rPr>
  </w:style>
  <w:style w:type="character" w:customStyle="1" w:styleId="italic">
    <w:name w:val="italic"/>
    <w:uiPriority w:val="99"/>
    <w:rsid w:val="00DE066B"/>
    <w:rPr>
      <w:i/>
    </w:rPr>
  </w:style>
  <w:style w:type="paragraph" w:customStyle="1" w:styleId="Bulletlast">
    <w:name w:val="_Bullet last"/>
    <w:basedOn w:val="Bullet"/>
    <w:uiPriority w:val="9"/>
    <w:rsid w:val="00DE066B"/>
    <w:pPr>
      <w:spacing w:after="240"/>
    </w:pPr>
  </w:style>
  <w:style w:type="paragraph" w:styleId="Header">
    <w:name w:val="header"/>
    <w:basedOn w:val="Normal"/>
    <w:link w:val="HeaderChar"/>
    <w:uiPriority w:val="99"/>
    <w:rsid w:val="00DE0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70D"/>
    <w:rPr>
      <w:rFonts w:ascii="Arial" w:hAnsi="Arial" w:cs="Arial"/>
      <w:sz w:val="18"/>
      <w:szCs w:val="24"/>
      <w:lang w:eastAsia="en-US"/>
    </w:rPr>
  </w:style>
  <w:style w:type="paragraph" w:styleId="Footer">
    <w:name w:val="footer"/>
    <w:basedOn w:val="Normal"/>
    <w:link w:val="FooterChar"/>
    <w:uiPriority w:val="99"/>
    <w:unhideWhenUsed/>
    <w:rsid w:val="00DE0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66B"/>
    <w:rPr>
      <w:rFonts w:ascii="Arial" w:hAnsi="Arial" w:cs="Arial"/>
      <w:sz w:val="18"/>
      <w:szCs w:val="24"/>
      <w:lang w:eastAsia="en-US"/>
    </w:rPr>
  </w:style>
  <w:style w:type="paragraph" w:customStyle="1" w:styleId="zFooter">
    <w:name w:val="_zFooter"/>
    <w:uiPriority w:val="99"/>
    <w:rsid w:val="00DE066B"/>
    <w:pPr>
      <w:tabs>
        <w:tab w:val="right" w:pos="9639"/>
      </w:tabs>
      <w:jc w:val="center"/>
    </w:pPr>
    <w:rPr>
      <w:rFonts w:ascii="Arial" w:hAnsi="Arial"/>
      <w:sz w:val="14"/>
      <w:szCs w:val="24"/>
      <w:lang w:eastAsia="en-US"/>
    </w:rPr>
  </w:style>
  <w:style w:type="character" w:customStyle="1" w:styleId="zRptPgNum">
    <w:name w:val="_zRptPgNum"/>
    <w:uiPriority w:val="99"/>
    <w:rsid w:val="00F53311"/>
    <w:rPr>
      <w:color w:val="419997"/>
    </w:rPr>
  </w:style>
  <w:style w:type="character" w:styleId="FollowedHyperlink">
    <w:name w:val="FollowedHyperlink"/>
    <w:basedOn w:val="DefaultParagraphFont"/>
    <w:uiPriority w:val="99"/>
    <w:rsid w:val="00F53311"/>
    <w:rPr>
      <w:color w:val="800080" w:themeColor="followedHyperlink"/>
      <w:u w:val="single"/>
    </w:rPr>
  </w:style>
  <w:style w:type="character" w:styleId="SubtleEmphasis">
    <w:name w:val="Subtle Emphasis"/>
    <w:basedOn w:val="DefaultParagraphFont"/>
    <w:uiPriority w:val="19"/>
    <w:rsid w:val="00591BB0"/>
    <w:rPr>
      <w:i/>
      <w:iCs/>
      <w:color w:val="808080" w:themeColor="text1" w:themeTint="7F"/>
    </w:rPr>
  </w:style>
  <w:style w:type="paragraph" w:styleId="BalloonText">
    <w:name w:val="Balloon Text"/>
    <w:basedOn w:val="Normal"/>
    <w:link w:val="BalloonTextChar"/>
    <w:uiPriority w:val="99"/>
    <w:semiHidden/>
    <w:unhideWhenUsed/>
    <w:rsid w:val="00160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15A"/>
    <w:rPr>
      <w:rFonts w:ascii="Tahoma" w:hAnsi="Tahoma" w:cs="Tahoma"/>
      <w:sz w:val="16"/>
      <w:szCs w:val="16"/>
      <w:lang w:eastAsia="en-US"/>
    </w:rPr>
  </w:style>
  <w:style w:type="paragraph" w:styleId="ListBullet">
    <w:name w:val="List Bullet"/>
    <w:basedOn w:val="Normal"/>
    <w:qFormat/>
    <w:rsid w:val="00DD3077"/>
    <w:pPr>
      <w:numPr>
        <w:numId w:val="20"/>
      </w:numPr>
    </w:pPr>
  </w:style>
  <w:style w:type="paragraph" w:styleId="ListBullet2">
    <w:name w:val="List Bullet 2"/>
    <w:basedOn w:val="Normal"/>
    <w:uiPriority w:val="99"/>
    <w:qFormat/>
    <w:rsid w:val="00DD3077"/>
    <w:pPr>
      <w:numPr>
        <w:numId w:val="21"/>
      </w:numPr>
    </w:pPr>
  </w:style>
  <w:style w:type="paragraph" w:customStyle="1" w:styleId="delwpcolouredindent">
    <w:name w:val="delwp coloured indent"/>
    <w:basedOn w:val="ListBullet"/>
    <w:uiPriority w:val="9"/>
    <w:rsid w:val="00CC770D"/>
    <w:rPr>
      <w:b/>
      <w:color w:val="228591"/>
      <w:lang w:eastAsia="en-AU"/>
    </w:rPr>
  </w:style>
  <w:style w:type="paragraph" w:customStyle="1" w:styleId="HC">
    <w:name w:val="_HC"/>
    <w:next w:val="Body"/>
    <w:uiPriority w:val="2"/>
    <w:qFormat/>
    <w:rsid w:val="00DD3077"/>
    <w:pPr>
      <w:spacing w:before="140" w:after="80" w:line="220" w:lineRule="atLeast"/>
    </w:pPr>
    <w:rPr>
      <w:rFonts w:ascii="Arial Bold" w:hAnsi="Arial Bold" w:cs="Arial"/>
      <w:b/>
      <w:color w:val="595959" w:themeColor="text1" w:themeTint="A6"/>
      <w:szCs w:val="24"/>
      <w:lang w:eastAsia="en-US"/>
    </w:rPr>
  </w:style>
  <w:style w:type="paragraph" w:customStyle="1" w:styleId="pulloutdotpoint">
    <w:name w:val="pullout dot point"/>
    <w:basedOn w:val="ListBullet"/>
    <w:uiPriority w:val="9"/>
    <w:qFormat/>
    <w:rsid w:val="00DD3077"/>
    <w:pPr>
      <w:numPr>
        <w:numId w:val="0"/>
      </w:numPr>
      <w:tabs>
        <w:tab w:val="left" w:pos="357"/>
      </w:tabs>
    </w:pPr>
    <w:rPr>
      <w:color w:val="419997"/>
      <w:sz w:val="23"/>
      <w:szCs w:val="23"/>
    </w:rPr>
  </w:style>
  <w:style w:type="paragraph" w:customStyle="1" w:styleId="TableBodyText">
    <w:name w:val="Table Body Text"/>
    <w:basedOn w:val="Normal"/>
    <w:unhideWhenUsed/>
    <w:qFormat/>
    <w:rsid w:val="00DD3077"/>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DD3077"/>
    <w:pPr>
      <w:spacing w:before="50" w:after="50"/>
      <w:jc w:val="center"/>
    </w:pPr>
    <w:rPr>
      <w:color w:val="798D28"/>
      <w:spacing w:val="-2"/>
      <w:sz w:val="32"/>
      <w:szCs w:val="32"/>
    </w:rPr>
  </w:style>
  <w:style w:type="character" w:customStyle="1" w:styleId="TableBodyText-Italics">
    <w:name w:val="Table Body Text - Italics"/>
    <w:unhideWhenUsed/>
    <w:qFormat/>
    <w:rsid w:val="00DD3077"/>
    <w:rPr>
      <w:rFonts w:ascii="Arial" w:hAnsi="Arial"/>
      <w:i/>
      <w:sz w:val="18"/>
    </w:rPr>
  </w:style>
  <w:style w:type="paragraph" w:customStyle="1" w:styleId="pulldot">
    <w:name w:val="pull dot"/>
    <w:basedOn w:val="ListBullet"/>
    <w:qFormat/>
    <w:rsid w:val="00DD3077"/>
    <w:pPr>
      <w:numPr>
        <w:numId w:val="0"/>
      </w:numPr>
      <w:tabs>
        <w:tab w:val="left" w:pos="357"/>
      </w:tabs>
    </w:pPr>
    <w:rPr>
      <w:color w:val="419997"/>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wp.vic.gov.au/about-us/regions-and-locations" TargetMode="External"/><Relationship Id="rId13" Type="http://schemas.openxmlformats.org/officeDocument/2006/relationships/hyperlink" Target="https://www.consumer.vic.gov.au/clubs-and-fundraising/incorporated-associations" TargetMode="External"/><Relationship Id="rId18" Type="http://schemas.openxmlformats.org/officeDocument/2006/relationships/hyperlink" Target="http://www.delwp.vic.gov.au/onboar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epi.vic.gov.au/forestry-and-land-use/coasts/coastal-committees-of-management" TargetMode="External"/><Relationship Id="rId17" Type="http://schemas.openxmlformats.org/officeDocument/2006/relationships/hyperlink" Target="http://www.delwp.vic.gov.au/committe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lwp.vic.gov.au/about-us/regions-and-loc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wp.vic.gov.au/onboard"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elwp.vic.gov.au/committees" TargetMode="External"/><Relationship Id="rId23" Type="http://schemas.openxmlformats.org/officeDocument/2006/relationships/header" Target="header3.xml"/><Relationship Id="rId10" Type="http://schemas.openxmlformats.org/officeDocument/2006/relationships/hyperlink" Target="http://www.delwp.vic.gov.au/committe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lwp.vic.gov.au/about-us/regions-and-locations" TargetMode="External"/><Relationship Id="rId14" Type="http://schemas.openxmlformats.org/officeDocument/2006/relationships/hyperlink" Target="http://delwp.vic.gov.au/about-us/regions-and-locatio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407AA-F548-4006-AD8C-10A8B845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Forbes</dc:creator>
  <cp:lastModifiedBy>Jen Bright (DELWP)</cp:lastModifiedBy>
  <cp:revision>49</cp:revision>
  <cp:lastPrinted>2019-07-02T05:14:00Z</cp:lastPrinted>
  <dcterms:created xsi:type="dcterms:W3CDTF">2015-10-26T09:42:00Z</dcterms:created>
  <dcterms:modified xsi:type="dcterms:W3CDTF">2019-07-09T00:44:00Z</dcterms:modified>
</cp:coreProperties>
</file>